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المستند الملزم هو ما تصدره جهة القيد.</w:t>
      </w:r>
      <w:r>
        <w:rPr>
          <w:rtl/>
        </w:rPr>
        <w:t xml:space="preserve"> في السعودية لكل شركة عقد تأسيس، إلا شركة المساهمة وشركة المساهمة المبسطة والشركة ذات المسؤولية المحدودة من شخص واحد، فلكل منها </w:t>
      </w:r>
      <w:r>
        <w:rPr>
          <w:b/>
          <w:bCs/>
          <w:rtl/>
        </w:rPr>
        <w:t xml:space="preserve">نظام أساس</w:t>
      </w:r>
      <w:r>
        <w:rPr>
          <w:rtl/>
        </w:rPr>
        <w:t xml:space="preserve">. والمستندان بالعربية (المادة السابعة من نظام الشركات الصادر بالمرسوم الملكي رقم م/132 وتاريخ 1/12/1443هـ).</w:t>
      </w:r>
      <w:r>
        <w:rPr>
          <w:rtl/>
        </w:rPr>
        <w:t xml:space="preserve"> [1]</w:t>
      </w:r>
      <w:r>
        <w:rPr>
          <w:rtl/>
        </w:rPr>
        <w:t xml:space="preserve"> وفي شركة الشخص الواحد يمارس المالك صلاحيات الجمعية العامة، والإشارة إلى عقد التأسيس تعني النظام الأساس (المادة السابعة والخمسون بعد المائة).</w:t>
      </w:r>
      <w:r>
        <w:rPr>
          <w:rtl/>
        </w:rPr>
        <w:t xml:space="preserve"> [1]</w:t>
      </w:r>
      <w:r>
        <w:rPr>
          <w:rtl/>
        </w:rPr>
        <w:t xml:space="preserve"> وأسّسوا عبر المركز السعودي للأعمال واستعملوا المستندات التي يولّدها.</w:t>
      </w:r>
      <w:r>
        <w:rPr>
          <w:rtl/>
        </w:rPr>
        <w:t xml:space="preserve"> [2]</w:t>
      </w:r>
      <w:r>
        <w:rPr>
          <w:rtl/>
        </w:rPr>
        <w:t xml:space="preserve"> وفي الإمارات المرسوم بقانون اتحادي رقم (32) لسنة 2021. ومستند كل شكل قيد المراجعة.</w:t>
      </w:r>
      <w:r>
        <w:rPr>
          <w:rtl/>
        </w:rPr>
        <w:t xml:space="preserve"> [3]</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الشركات: </w:t>
      </w:r>
      <w:hyperlink w:history="1" r:id="rIdcnvbldiygac3avyrbus7n">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المركز السعودي للأعمال: </w:t>
      </w:r>
      <w:hyperlink w:history="1" r:id="rId8ts1zvgkujlgelqlci_wj">
        <w:r>
          <w:rPr>
            <w:rStyle w:val="Hyperlink"/>
            <w:sz w:val="17"/>
            <w:szCs w:val="17"/>
          </w:rPr>
          <w:t xml:space="preserve">‪https://business.sa/‬</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الشركات التجارية: </w:t>
      </w:r>
      <w:hyperlink w:history="1" r:id="rIdqtlqxfz6w3oxataui9cri">
        <w:r>
          <w:rPr>
            <w:rStyle w:val="Hyperlink"/>
            <w:sz w:val="17"/>
            <w:szCs w:val="17"/>
          </w:rPr>
          <w:t xml:space="preserve">‪https://u.ae/en/information-and-services/business/Doing-business/doing-business-on-the-mainland/full-foreign-ownership-of-commercial-companies‬</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الإمارات:</w:t>
      </w:r>
      <w:r>
        <w:rPr>
          <w:sz w:val="19"/>
          <w:szCs w:val="19"/>
          <w:rtl/>
        </w:rPr>
        <w:t xml:space="preserve"> المرسوم بقانون اتحادي رقم (32) لسنة 2021. ومستند كل شكل قيد المراجعة. لا رقم مادة.</w:t>
      </w:r>
      <w:r>
        <w:rPr>
          <w:sz w:val="19"/>
          <w:szCs w:val="19"/>
          <w:rtl/>
        </w:rPr>
        <w:t xml:space="preserve"> [3][4]</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البحرين وقطر والكويت وعُمان:</w:t>
      </w:r>
      <w:r>
        <w:rPr>
          <w:sz w:val="19"/>
          <w:szCs w:val="19"/>
          <w:rtl/>
        </w:rPr>
        <w:t xml:space="preserve"> قيد المراجعة. لا رقم مادة.</w:t>
      </w:r>
    </w:p>
    <w:p>
      <w:pPr>
        <w:bidi/>
        <w:spacing w:after="240"/>
      </w:pPr>
    </w:p>
    <w:p>
      <w:pPr>
        <w:pStyle w:val="Title"/>
        <w:bidi/>
      </w:pPr>
      <w:r>
        <w:rPr>
          <w:rtl/>
        </w:rPr>
        <w:t xml:space="preserve">نظام أساس</w:t>
      </w:r>
    </w:p>
    <w:p>
      <w:pPr>
        <w:bidi/>
        <w:spacing w:after="240"/>
      </w:pPr>
      <w:r>
        <w:rPr>
          <w:color w:val="444444"/>
          <w:rtl/>
        </w:rPr>
        <w:t xml:space="preserve">قائمة شروط للنظام الأساس في دول الخليج: الاسم، والشكل، والأغراض، والمركز، ورأس المال، والإدارة، والانقضاء. وهي لا تؤسس الشركة ولا تغني عن المستند الذي تصدره جهة القيد.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الاسم والشكل</w:t>
      </w:r>
      <w:commentRangeEnd w:id="0"/>
      <w:r>
        <w:rPr>
          <w:rtl/>
        </w:rPr>
        <w:commentReference w:id="0"/>
      </w:r>
    </w:p>
    <w:p>
      <w:pPr>
        <w:bidi/>
      </w:pPr>
      <w:r>
        <w:rPr>
          <w:rtl/>
        </w:rPr>
        <w:t xml:space="preserve">اسم الشركة: </w:t>
      </w:r>
      <w:r>
        <w:rPr>
          <w:highlight w:val="yellow"/>
          <w:rtl/>
        </w:rPr>
        <w:t xml:space="preserve">[</w:t>
      </w:r>
      <w:r>
        <w:rPr>
          <w:highlight w:val="yellow"/>
          <w:rtl/>
        </w:rPr>
        <w:t xml:space="preserve">●</w:t>
      </w:r>
      <w:r>
        <w:rPr>
          <w:highlight w:val="yellow"/>
          <w:rtl/>
        </w:rPr>
        <w:t xml:space="preserve">]</w:t>
      </w:r>
      <w:r>
        <w:rPr>
          <w:rtl/>
        </w:rPr>
        <w:t xml:space="preserve">. شكلها: </w:t>
      </w:r>
      <w:r>
        <w:rPr>
          <w:highlight w:val="yellow"/>
          <w:rtl/>
        </w:rPr>
        <w:t xml:space="preserve">[</w:t>
      </w:r>
      <w:r>
        <w:rPr>
          <w:highlight w:val="yellow"/>
          <w:rtl/>
        </w:rPr>
        <w:t xml:space="preserve">شركة مساهمة / شركة مساهمة مبسطة / شركة ذات مسؤولية محدودة من شخص واحد</w:t>
      </w:r>
      <w:r>
        <w:rPr>
          <w:highlight w:val="yellow"/>
          <w:rtl/>
        </w:rPr>
        <w:t xml:space="preserve">]</w:t>
      </w:r>
      <w:r>
        <w:rPr>
          <w:rtl/>
        </w:rPr>
        <w:t xml:space="preserve">. ويُكتب الاسم في المستند الرسمي كما تقبله جهة القيد.</w:t>
      </w:r>
    </w:p>
    <w:p>
      <w:pPr>
        <w:pStyle w:val="Heading1"/>
        <w:bidi/>
      </w:pPr>
      <w:commentRangeStart w:id="1"/>
      <w:r>
        <w:rPr>
          <w:rtl/>
        </w:rPr>
        <w:t xml:space="preserve">البند (2): الأغراض والأنشطة</w:t>
      </w:r>
      <w:commentRangeEnd w:id="1"/>
      <w:r>
        <w:rPr>
          <w:rtl/>
        </w:rPr>
        <w:commentReference w:id="1"/>
      </w:r>
    </w:p>
    <w:p>
      <w:pPr>
        <w:bidi/>
      </w:pPr>
      <w:r>
        <w:rPr>
          <w:rtl/>
        </w:rPr>
        <w:t xml:space="preserve">الأغراض: </w:t>
      </w:r>
      <w:r>
        <w:rPr>
          <w:highlight w:val="yellow"/>
          <w:rtl/>
        </w:rPr>
        <w:t xml:space="preserve">[</w:t>
      </w:r>
      <w:r>
        <w:rPr>
          <w:highlight w:val="yellow"/>
          <w:rtl/>
        </w:rPr>
        <w:t xml:space="preserve">صفوا الأنشطة</w:t>
      </w:r>
      <w:r>
        <w:rPr>
          <w:highlight w:val="yellow"/>
          <w:rtl/>
        </w:rPr>
        <w:t xml:space="preserve">]</w:t>
      </w:r>
      <w:r>
        <w:rPr>
          <w:rtl/>
        </w:rPr>
        <w:t xml:space="preserve">. ويمارس كل نشاط بعد الترخيص الذي تطلبه الجهة المختصة.</w:t>
      </w:r>
    </w:p>
    <w:p>
      <w:pPr>
        <w:pStyle w:val="Heading1"/>
        <w:bidi/>
      </w:pPr>
      <w:r>
        <w:rPr>
          <w:rtl/>
        </w:rPr>
        <w:t xml:space="preserve">البند (3): المركز والمدة</w:t>
      </w:r>
    </w:p>
    <w:p>
      <w:pPr>
        <w:bidi/>
      </w:pPr>
      <w:r>
        <w:rPr>
          <w:rtl/>
        </w:rPr>
        <w:t xml:space="preserve">المركز الرئيس في </w:t>
      </w:r>
      <w:r>
        <w:rPr>
          <w:highlight w:val="yellow"/>
          <w:rtl/>
        </w:rPr>
        <w:t xml:space="preserve">[</w:t>
      </w:r>
      <w:r>
        <w:rPr>
          <w:highlight w:val="yellow"/>
          <w:rtl/>
        </w:rPr>
        <w:t xml:space="preserve">المدينة، الدولة</w:t>
      </w:r>
      <w:r>
        <w:rPr>
          <w:highlight w:val="yellow"/>
          <w:rtl/>
        </w:rPr>
        <w:t xml:space="preserve">]</w:t>
      </w:r>
      <w:r>
        <w:rPr>
          <w:rtl/>
        </w:rPr>
        <w:t xml:space="preserve">. وللشركة أن تفتح فروعاً بقرار من </w:t>
      </w:r>
      <w:r>
        <w:rPr>
          <w:highlight w:val="yellow"/>
          <w:rtl/>
        </w:rPr>
        <w:t xml:space="preserve">[</w:t>
      </w:r>
      <w:r>
        <w:rPr>
          <w:highlight w:val="yellow"/>
          <w:rtl/>
        </w:rPr>
        <w:t xml:space="preserve">المدير / المجلس / المالك</w:t>
      </w:r>
      <w:r>
        <w:rPr>
          <w:highlight w:val="yellow"/>
          <w:rtl/>
        </w:rPr>
        <w:t xml:space="preserve">]</w:t>
      </w:r>
      <w:r>
        <w:rPr>
          <w:rtl/>
        </w:rPr>
        <w:t xml:space="preserve">.</w:t>
      </w:r>
    </w:p>
    <w:p>
      <w:pPr>
        <w:bidi/>
      </w:pPr>
      <w:r>
        <w:rPr>
          <w:rtl/>
        </w:rPr>
        <w:t xml:space="preserve">المدة </w:t>
      </w:r>
      <w:r>
        <w:rPr>
          <w:highlight w:val="yellow"/>
          <w:rtl/>
        </w:rPr>
        <w:t xml:space="preserve">[</w:t>
      </w:r>
      <w:r>
        <w:rPr>
          <w:highlight w:val="yellow"/>
          <w:rtl/>
        </w:rPr>
        <w:t xml:space="preserve">●</w:t>
      </w:r>
      <w:r>
        <w:rPr>
          <w:highlight w:val="yellow"/>
          <w:rtl/>
        </w:rPr>
        <w:t xml:space="preserve">]</w:t>
      </w:r>
      <w:r>
        <w:rPr>
          <w:rtl/>
        </w:rPr>
        <w:t xml:space="preserve"> سنة من القيد، وتُجدَّد </w:t>
      </w:r>
      <w:r>
        <w:rPr>
          <w:highlight w:val="yellow"/>
          <w:rtl/>
        </w:rPr>
        <w:t xml:space="preserve">[</w:t>
      </w:r>
      <w:r>
        <w:rPr>
          <w:highlight w:val="yellow"/>
          <w:rtl/>
        </w:rPr>
        <w:t xml:space="preserve">تلقائياً / بقرار</w:t>
      </w:r>
      <w:r>
        <w:rPr>
          <w:highlight w:val="yellow"/>
          <w:rtl/>
        </w:rPr>
        <w:t xml:space="preserve">]</w:t>
      </w:r>
      <w:r>
        <w:rPr>
          <w:rtl/>
        </w:rPr>
        <w:t xml:space="preserve"> ما لم يقرر </w:t>
      </w:r>
      <w:r>
        <w:rPr>
          <w:highlight w:val="yellow"/>
          <w:rtl/>
        </w:rPr>
        <w:t xml:space="preserve">[</w:t>
      </w:r>
      <w:r>
        <w:rPr>
          <w:highlight w:val="yellow"/>
          <w:rtl/>
        </w:rPr>
        <w:t xml:space="preserve">المالك / المساهمون</w:t>
      </w:r>
      <w:r>
        <w:rPr>
          <w:highlight w:val="yellow"/>
          <w:rtl/>
        </w:rPr>
        <w:t xml:space="preserve">]</w:t>
      </w:r>
      <w:r>
        <w:rPr>
          <w:rtl/>
        </w:rPr>
        <w:t xml:space="preserve"> غير ذلك.</w:t>
      </w:r>
    </w:p>
    <w:p>
      <w:pPr>
        <w:pStyle w:val="Heading1"/>
        <w:bidi/>
      </w:pPr>
      <w:commentRangeStart w:id="2"/>
      <w:r>
        <w:rPr>
          <w:rtl/>
        </w:rPr>
        <w:t xml:space="preserve">البند (4): رأس المال</w:t>
      </w:r>
      <w:commentRangeEnd w:id="2"/>
      <w:r>
        <w:rPr>
          <w:rtl/>
        </w:rPr>
        <w:commentReference w:id="2"/>
      </w:r>
    </w:p>
    <w:p>
      <w:pPr>
        <w:bidi/>
      </w:pPr>
      <w:r>
        <w:rPr>
          <w:rtl/>
        </w:rPr>
        <w:t xml:space="preserve">رأس المال </w:t>
      </w:r>
      <w:r>
        <w:rPr>
          <w:highlight w:val="yellow"/>
          <w:rtl/>
        </w:rPr>
        <w:t xml:space="preserve">[</w:t>
      </w:r>
      <w:r>
        <w:rPr>
          <w:highlight w:val="yellow"/>
          <w:rtl/>
        </w:rPr>
        <w:t xml:space="preserve">●</w:t>
      </w:r>
      <w:r>
        <w:rPr>
          <w:highlight w:val="yellow"/>
          <w:rtl/>
        </w:rPr>
        <w:t xml:space="preserve">]</w:t>
      </w:r>
      <w:r>
        <w:rPr>
          <w:rtl/>
        </w:rPr>
        <w:t xml:space="preserve">، مقسوم إلى </w:t>
      </w:r>
      <w:r>
        <w:rPr>
          <w:highlight w:val="yellow"/>
          <w:rtl/>
        </w:rPr>
        <w:t xml:space="preserve">[</w:t>
      </w:r>
      <w:r>
        <w:rPr>
          <w:highlight w:val="yellow"/>
          <w:rtl/>
        </w:rPr>
        <w:t xml:space="preserve">●</w:t>
      </w:r>
      <w:r>
        <w:rPr>
          <w:highlight w:val="yellow"/>
          <w:rtl/>
        </w:rPr>
        <w:t xml:space="preserve">]</w:t>
      </w:r>
      <w:r>
        <w:rPr>
          <w:rtl/>
        </w:rPr>
        <w:t xml:space="preserve"> حصة أو سهماً قيمة كل منها </w:t>
      </w:r>
      <w:r>
        <w:rPr>
          <w:highlight w:val="yellow"/>
          <w:rtl/>
        </w:rPr>
        <w:t xml:space="preserve">[</w:t>
      </w:r>
      <w:r>
        <w:rPr>
          <w:highlight w:val="yellow"/>
          <w:rtl/>
        </w:rPr>
        <w:t xml:space="preserve">●</w:t>
      </w:r>
      <w:r>
        <w:rPr>
          <w:highlight w:val="yellow"/>
          <w:rtl/>
        </w:rPr>
        <w:t xml:space="preserve">]</w:t>
      </w:r>
      <w:r>
        <w:rPr>
          <w:rtl/>
        </w:rPr>
        <w:t xml:space="preserve">، وفق الملحق (1).</w:t>
      </w:r>
    </w:p>
    <w:p>
      <w:pPr>
        <w:bidi/>
      </w:pPr>
      <w:r>
        <w:rPr>
          <w:rtl/>
        </w:rPr>
        <w:t xml:space="preserve">الحصة العينية: </w:t>
      </w:r>
      <w:r>
        <w:rPr>
          <w:highlight w:val="yellow"/>
          <w:rtl/>
        </w:rPr>
        <w:t xml:space="preserve">[</w:t>
      </w:r>
      <w:r>
        <w:rPr>
          <w:highlight w:val="yellow"/>
          <w:rtl/>
        </w:rPr>
        <w:t xml:space="preserve">صفوها، ومن يقدّمها، وكيف تُقوَّم</w:t>
      </w:r>
      <w:r>
        <w:rPr>
          <w:highlight w:val="yellow"/>
          <w:rtl/>
        </w:rPr>
        <w:t xml:space="preserve">]</w:t>
      </w:r>
      <w:r>
        <w:rPr>
          <w:rtl/>
        </w:rPr>
        <w:t xml:space="preserve">. وتنتقل ملكيتها إلى الشركة كما تطلب جهة القيد.</w:t>
      </w:r>
    </w:p>
    <w:p>
      <w:pPr>
        <w:pStyle w:val="Heading1"/>
        <w:bidi/>
      </w:pPr>
      <w:commentRangeStart w:id="3"/>
      <w:r>
        <w:rPr>
          <w:rtl/>
        </w:rPr>
        <w:t xml:space="preserve">البند (5): الإدارة وصلاحيات المالك</w:t>
      </w:r>
      <w:commentRangeEnd w:id="3"/>
      <w:r>
        <w:rPr>
          <w:rtl/>
        </w:rPr>
        <w:commentReference w:id="3"/>
      </w:r>
    </w:p>
    <w:p>
      <w:pPr>
        <w:bidi/>
      </w:pPr>
      <w:r>
        <w:rPr>
          <w:rtl/>
        </w:rPr>
        <w:t xml:space="preserve">يدير الشركة </w:t>
      </w:r>
      <w:r>
        <w:rPr>
          <w:highlight w:val="yellow"/>
          <w:rtl/>
        </w:rPr>
        <w:t xml:space="preserve">[</w:t>
      </w:r>
      <w:r>
        <w:rPr>
          <w:highlight w:val="yellow"/>
          <w:rtl/>
        </w:rPr>
        <w:t xml:space="preserve">مدير / مجلس / المالك</w:t>
      </w:r>
      <w:r>
        <w:rPr>
          <w:highlight w:val="yellow"/>
          <w:rtl/>
        </w:rPr>
        <w:t xml:space="preserve">]</w:t>
      </w:r>
      <w:r>
        <w:rPr>
          <w:rtl/>
        </w:rPr>
        <w:t xml:space="preserve">: </w:t>
      </w:r>
      <w:r>
        <w:rPr>
          <w:highlight w:val="yellow"/>
          <w:rtl/>
        </w:rPr>
        <w:t xml:space="preserve">[</w:t>
      </w:r>
      <w:r>
        <w:rPr>
          <w:highlight w:val="yellow"/>
          <w:rtl/>
        </w:rPr>
        <w:t xml:space="preserve">الاسم، رقم الهوية</w:t>
      </w:r>
      <w:r>
        <w:rPr>
          <w:highlight w:val="yellow"/>
          <w:rtl/>
        </w:rPr>
        <w:t xml:space="preserve">]</w:t>
      </w:r>
      <w:r>
        <w:rPr>
          <w:rtl/>
        </w:rPr>
        <w:t xml:space="preserve">. والتعيين لمدة </w:t>
      </w:r>
      <w:r>
        <w:rPr>
          <w:highlight w:val="yellow"/>
          <w:rtl/>
        </w:rPr>
        <w:t xml:space="preserve">[</w:t>
      </w:r>
      <w:r>
        <w:rPr>
          <w:highlight w:val="yellow"/>
          <w:rtl/>
        </w:rPr>
        <w:t xml:space="preserve">●</w:t>
      </w:r>
      <w:r>
        <w:rPr>
          <w:highlight w:val="yellow"/>
          <w:rtl/>
        </w:rPr>
        <w:t xml:space="preserve">]</w:t>
      </w:r>
      <w:r>
        <w:rPr>
          <w:rtl/>
        </w:rPr>
        <w:t xml:space="preserve">.</w:t>
      </w:r>
    </w:p>
    <w:p>
      <w:pPr>
        <w:bidi/>
      </w:pPr>
      <w:r>
        <w:rPr>
          <w:rtl/>
        </w:rPr>
        <w:t xml:space="preserve">الصلاحيات: </w:t>
      </w:r>
      <w:r>
        <w:rPr>
          <w:highlight w:val="yellow"/>
          <w:rtl/>
        </w:rPr>
        <w:t xml:space="preserve">[</w:t>
      </w:r>
      <w:r>
        <w:rPr>
          <w:highlight w:val="yellow"/>
          <w:rtl/>
        </w:rPr>
        <w:t xml:space="preserve">الإدارة اليومية، والتوقيع، والحسابات البنكية</w:t>
      </w:r>
      <w:r>
        <w:rPr>
          <w:highlight w:val="yellow"/>
          <w:rtl/>
        </w:rPr>
        <w:t xml:space="preserve">]</w:t>
      </w:r>
      <w:r>
        <w:rPr>
          <w:rtl/>
        </w:rPr>
        <w:t xml:space="preserve">. ويُشترط قرار مكتوب لـ: </w:t>
      </w:r>
      <w:r>
        <w:rPr>
          <w:highlight w:val="yellow"/>
          <w:rtl/>
        </w:rPr>
        <w:t xml:space="preserve">[</w:t>
      </w:r>
      <w:r>
        <w:rPr>
          <w:highlight w:val="yellow"/>
          <w:rtl/>
        </w:rPr>
        <w:t xml:space="preserve">الاقتراض فوق ● / التصرف في أصول فوق ● / فتح فرع</w:t>
      </w:r>
      <w:r>
        <w:rPr>
          <w:highlight w:val="yellow"/>
          <w:rtl/>
        </w:rPr>
        <w:t xml:space="preserve">]</w:t>
      </w:r>
      <w:r>
        <w:rPr>
          <w:rtl/>
        </w:rPr>
        <w:t xml:space="preserve">.</w:t>
      </w:r>
    </w:p>
    <w:p>
      <w:pPr>
        <w:pStyle w:val="Heading1"/>
        <w:bidi/>
      </w:pPr>
      <w:commentRangeStart w:id="4"/>
      <w:r>
        <w:rPr>
          <w:rtl/>
        </w:rPr>
        <w:t xml:space="preserve">البند (6): القرارات</w:t>
      </w:r>
      <w:commentRangeEnd w:id="4"/>
      <w:r>
        <w:rPr>
          <w:rtl/>
        </w:rPr>
        <w:commentReference w:id="4"/>
      </w:r>
    </w:p>
    <w:p>
      <w:pPr>
        <w:bidi/>
      </w:pPr>
      <w:r>
        <w:rPr>
          <w:rtl/>
        </w:rPr>
        <w:t xml:space="preserve">تُتخذ القرارات في اجتماع أو بالتمرير. والنصاب والأغلبية: </w:t>
      </w:r>
      <w:r>
        <w:rPr>
          <w:highlight w:val="yellow"/>
          <w:rtl/>
        </w:rPr>
        <w:t xml:space="preserve">[</w:t>
      </w:r>
      <w:r>
        <w:rPr>
          <w:highlight w:val="yellow"/>
          <w:rtl/>
        </w:rPr>
        <w:t xml:space="preserve">املأوا ذلك من نموذج جهة القيد؛ ولا تتركوه فارغاً عند القيد</w:t>
      </w:r>
      <w:r>
        <w:rPr>
          <w:highlight w:val="yellow"/>
          <w:rtl/>
        </w:rPr>
        <w:t xml:space="preserve">]</w:t>
      </w:r>
      <w:r>
        <w:rPr>
          <w:rtl/>
        </w:rPr>
        <w:t xml:space="preserve">.</w:t>
      </w:r>
    </w:p>
    <w:p>
      <w:pPr>
        <w:bidi/>
      </w:pPr>
      <w:r>
        <w:rPr>
          <w:rtl/>
        </w:rPr>
        <w:t xml:space="preserve">والقرارات مكتوبة وموقَّعة وتُحفظ في سجل الشركة.</w:t>
      </w:r>
    </w:p>
    <w:p>
      <w:pPr>
        <w:pStyle w:val="Heading1"/>
        <w:bidi/>
      </w:pPr>
      <w:r>
        <w:rPr>
          <w:rtl/>
        </w:rPr>
        <w:t xml:space="preserve">البند (7): الأرباح والتنازل</w:t>
      </w:r>
    </w:p>
    <w:p>
      <w:pPr>
        <w:bidi/>
      </w:pPr>
      <w:r>
        <w:rPr>
          <w:rtl/>
        </w:rPr>
        <w:t xml:space="preserve">توزَّع الأرباح القابلة للتوزيع بنسبة الحصص، بعد </w:t>
      </w:r>
      <w:r>
        <w:rPr>
          <w:highlight w:val="yellow"/>
          <w:rtl/>
        </w:rPr>
        <w:t xml:space="preserve">[</w:t>
      </w:r>
      <w:r>
        <w:rPr>
          <w:highlight w:val="yellow"/>
          <w:rtl/>
        </w:rPr>
        <w:t xml:space="preserve">ما يُجنَّب</w:t>
      </w:r>
      <w:r>
        <w:rPr>
          <w:highlight w:val="yellow"/>
          <w:rtl/>
        </w:rPr>
        <w:t xml:space="preserve">]</w:t>
      </w:r>
      <w:r>
        <w:rPr>
          <w:rtl/>
        </w:rPr>
        <w:t xml:space="preserve">. وتُتحمَّل الخسائر بنسبة الحصص في حدود كل حصة.</w:t>
      </w:r>
    </w:p>
    <w:p>
      <w:pPr>
        <w:bidi/>
      </w:pPr>
      <w:r>
        <w:rPr>
          <w:rtl/>
        </w:rPr>
        <w:t xml:space="preserve">ويجري التنازل وفق نموذج جهة القيد، وبعد التأسيس وفق </w:t>
      </w:r>
      <w:hyperlink w:history="1" r:id="rIdjewvmpf6x3hdn6cnzf5yb">
        <w:r>
          <w:rPr>
            <w:rStyle w:val="Hyperlink"/>
            <w:rtl/>
          </w:rPr>
          <w:t xml:space="preserve">نموذج التنازل عن الحصص</w:t>
        </w:r>
      </w:hyperlink>
      <w:r>
        <w:rPr>
          <w:rtl/>
        </w:rPr>
        <w:t xml:space="preserve"> إذا بُيعَت حصة.</w:t>
      </w:r>
    </w:p>
    <w:p>
      <w:pPr>
        <w:pStyle w:val="Heading1"/>
        <w:bidi/>
      </w:pPr>
      <w:commentRangeStart w:id="5"/>
      <w:r>
        <w:rPr>
          <w:rtl/>
        </w:rPr>
        <w:t xml:space="preserve">البند (8): الانقضاء واللغة والتوقيع</w:t>
      </w:r>
      <w:commentRangeEnd w:id="5"/>
      <w:r>
        <w:rPr>
          <w:rtl/>
        </w:rPr>
        <w:commentReference w:id="5"/>
      </w:r>
    </w:p>
    <w:p>
      <w:pPr>
        <w:bidi/>
      </w:pPr>
      <w:r>
        <w:rPr>
          <w:rtl/>
        </w:rPr>
        <w:t xml:space="preserve">تنقضي الشركة بانتهاء مدتها، أو باتفاق </w:t>
      </w:r>
      <w:r>
        <w:rPr>
          <w:highlight w:val="yellow"/>
          <w:rtl/>
        </w:rPr>
        <w:t xml:space="preserve">[</w:t>
      </w:r>
      <w:r>
        <w:rPr>
          <w:highlight w:val="yellow"/>
          <w:rtl/>
        </w:rPr>
        <w:t xml:space="preserve">المالك / المساهمين</w:t>
      </w:r>
      <w:r>
        <w:rPr>
          <w:highlight w:val="yellow"/>
          <w:rtl/>
        </w:rPr>
        <w:t xml:space="preserve">]</w:t>
      </w:r>
      <w:r>
        <w:rPr>
          <w:rtl/>
        </w:rPr>
        <w:t xml:space="preserve">، أو لسبب آخر تقبله جهة القيد. ويتولى </w:t>
      </w:r>
      <w:r>
        <w:rPr>
          <w:highlight w:val="yellow"/>
          <w:rtl/>
        </w:rPr>
        <w:t xml:space="preserve">[</w:t>
      </w:r>
      <w:r>
        <w:rPr>
          <w:highlight w:val="yellow"/>
          <w:rtl/>
        </w:rPr>
        <w:t xml:space="preserve">المصفي</w:t>
      </w:r>
      <w:r>
        <w:rPr>
          <w:highlight w:val="yellow"/>
          <w:rtl/>
        </w:rPr>
        <w:t xml:space="preserve">]</w:t>
      </w:r>
      <w:r>
        <w:rPr>
          <w:rtl/>
        </w:rPr>
        <w:t xml:space="preserve"> التصفية. وما يبقى بعد الديون يوزَّع بنسبة الحصص. وهو بالعربية والإنجليزية، ويُقدَّم العربي (المادة السابعة).</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المؤسس / المالك:</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الحصص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السعودية</w:t>
      </w:r>
    </w:p>
    <w:p>
      <w:pPr>
        <w:bidi/>
      </w:pPr>
      <w:r>
        <w:rPr>
          <w:rtl/>
        </w:rPr>
        <w:t xml:space="preserve">نظام الشركات الصادر بالمرسوم الملكي رقم (م/132) وتاريخ 1/12/1443هـ.</w:t>
      </w:r>
      <w:r>
        <w:rPr>
          <w:rtl/>
        </w:rPr>
        <w:t xml:space="preserve"> [1][2]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يثبته النص</w:t>
            </w:r>
          </w:p>
        </w:tc>
      </w:tr>
      <w:tr>
        <w:trPr>
          <w:cantSplit/>
        </w:trPr>
        <w:tc>
          <w:tcPr>
            <w:tcMar>
              <w:top w:type="dxa" w:w="80"/>
              <w:left w:type="dxa" w:w="100"/>
              <w:bottom w:type="dxa" w:w="80"/>
              <w:right w:type="dxa" w:w="100"/>
            </w:tcMar>
          </w:tcPr>
          <w:p>
            <w:pPr>
              <w:bidi/>
              <w:spacing w:after="0"/>
            </w:pPr>
            <w:r>
              <w:rPr>
                <w:b w:val="false"/>
                <w:sz w:val="18"/>
                <w:szCs w:val="18"/>
                <w:rtl/>
              </w:rPr>
              <w:t xml:space="preserve">من له نظام أساس</w:t>
            </w:r>
          </w:p>
        </w:tc>
        <w:tc>
          <w:tcPr>
            <w:tcMar>
              <w:top w:type="dxa" w:w="80"/>
              <w:left w:type="dxa" w:w="100"/>
              <w:bottom w:type="dxa" w:w="80"/>
              <w:right w:type="dxa" w:w="100"/>
            </w:tcMar>
          </w:tcPr>
          <w:p>
            <w:pPr>
              <w:bidi/>
              <w:spacing w:after="0"/>
            </w:pPr>
            <w:r>
              <w:rPr>
                <w:b w:val="false"/>
                <w:sz w:val="18"/>
                <w:szCs w:val="18"/>
                <w:rtl/>
              </w:rPr>
              <w:t xml:space="preserve">شركة المساهمة وشركة المساهمة المبسطة والشركة ذات المسؤولية المحدودة من شخص واحد. ولغيرها عقد تأسيس. والمستندان بالعربية (المادة السابعة).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ذ.م.م من شخص واحد</w:t>
            </w:r>
          </w:p>
        </w:tc>
        <w:tc>
          <w:tcPr>
            <w:tcMar>
              <w:top w:type="dxa" w:w="80"/>
              <w:left w:type="dxa" w:w="100"/>
              <w:bottom w:type="dxa" w:w="80"/>
              <w:right w:type="dxa" w:w="100"/>
            </w:tcMar>
          </w:tcPr>
          <w:p>
            <w:pPr>
              <w:bidi/>
              <w:spacing w:after="0"/>
            </w:pPr>
            <w:r>
              <w:rPr>
                <w:b w:val="false"/>
                <w:sz w:val="18"/>
                <w:szCs w:val="18"/>
                <w:rtl/>
              </w:rPr>
              <w:t xml:space="preserve">يمارس المالك صلاحيات الجمعية العامة؛ وقراراته مكتوبة؛ والإشارة إلى عقد التأسيس تعني النظام الأساس (المادة السابعة والخمسون بعد المائة).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القيد</w:t>
            </w:r>
          </w:p>
        </w:tc>
        <w:tc>
          <w:tcPr>
            <w:tcMar>
              <w:top w:type="dxa" w:w="80"/>
              <w:left w:type="dxa" w:w="100"/>
              <w:bottom w:type="dxa" w:w="80"/>
              <w:right w:type="dxa" w:w="100"/>
            </w:tcMar>
          </w:tcPr>
          <w:p>
            <w:pPr>
              <w:bidi/>
              <w:spacing w:after="0"/>
            </w:pPr>
            <w:r>
              <w:rPr>
                <w:b w:val="false"/>
                <w:sz w:val="18"/>
                <w:szCs w:val="18"/>
                <w:rtl/>
              </w:rPr>
              <w:t xml:space="preserve">أسّسوا عبر المركز السعودي للأعمال واستعملوا مستنداته. وهذه القائمة ليست ذلك النموذج.</w:t>
            </w:r>
            <w:r>
              <w:rPr>
                <w:b w:val="false"/>
                <w:sz w:val="18"/>
                <w:szCs w:val="18"/>
                <w:rtl/>
              </w:rPr>
              <w:t xml:space="preserve"> [2]</w:t>
            </w:r>
          </w:p>
        </w:tc>
      </w:tr>
    </w:tbl>
    <w:p>
      <w:pPr>
        <w:bidi/>
      </w:pPr>
    </w:p>
    <w:p>
      <w:pPr>
        <w:pStyle w:val="Heading1"/>
        <w:pageBreakBefore/>
        <w:bidi/>
      </w:pPr>
      <w:r>
        <w:rPr>
          <w:rtl/>
        </w:rPr>
        <w:t xml:space="preserve">ملاحظات الإمارات</w:t>
      </w:r>
    </w:p>
    <w:p>
      <w:pPr>
        <w:bidi/>
      </w:pPr>
      <w:r>
        <w:rPr>
          <w:rtl/>
        </w:rPr>
        <w:t xml:space="preserve">مستند كل شكل قيد المراجعة.</w:t>
      </w:r>
      <w:r>
        <w:rPr>
          <w:rtl/>
        </w:rPr>
        <w:t xml:space="preserve"> [3][4][5]</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w:t>
            </w:r>
          </w:p>
        </w:tc>
      </w:tr>
      <w:tr>
        <w:trPr>
          <w:cantSplit/>
        </w:trPr>
        <w:tc>
          <w:tcPr>
            <w:tcMar>
              <w:top w:type="dxa" w:w="80"/>
              <w:left w:type="dxa" w:w="100"/>
              <w:bottom w:type="dxa" w:w="80"/>
              <w:right w:type="dxa" w:w="100"/>
            </w:tcMar>
          </w:tcPr>
          <w:p>
            <w:pPr>
              <w:bidi/>
              <w:spacing w:after="0"/>
            </w:pPr>
            <w:r>
              <w:rPr>
                <w:b w:val="false"/>
                <w:sz w:val="18"/>
                <w:szCs w:val="18"/>
                <w:rtl/>
              </w:rPr>
              <w:t xml:space="preserve">النظام</w:t>
            </w:r>
          </w:p>
        </w:tc>
        <w:tc>
          <w:tcPr>
            <w:tcMar>
              <w:top w:type="dxa" w:w="80"/>
              <w:left w:type="dxa" w:w="100"/>
              <w:bottom w:type="dxa" w:w="80"/>
              <w:right w:type="dxa" w:w="100"/>
            </w:tcMar>
          </w:tcPr>
          <w:p>
            <w:pPr>
              <w:bidi/>
              <w:spacing w:after="0"/>
            </w:pPr>
            <w:r>
              <w:rPr>
                <w:b w:val="false"/>
                <w:sz w:val="18"/>
                <w:szCs w:val="18"/>
                <w:rtl/>
              </w:rPr>
              <w:t xml:space="preserve">قانون الشركات التجارية هو المرسوم بقانون اتحادي رقم (32) لسنة 2021.</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أي مستند</w:t>
            </w:r>
          </w:p>
        </w:tc>
        <w:tc>
          <w:tcPr>
            <w:tcMar>
              <w:top w:type="dxa" w:w="80"/>
              <w:left w:type="dxa" w:w="100"/>
              <w:bottom w:type="dxa" w:w="80"/>
              <w:right w:type="dxa" w:w="100"/>
            </w:tcMar>
          </w:tcPr>
          <w:p>
            <w:pPr>
              <w:bidi/>
              <w:spacing w:after="0"/>
            </w:pPr>
            <w:r>
              <w:rPr>
                <w:b w:val="false"/>
                <w:sz w:val="18"/>
                <w:szCs w:val="18"/>
                <w:rtl/>
              </w:rPr>
              <w:t xml:space="preserve">قيد المراجعة. لا رقم مادة لفصل عقد التأسيس عن النظام الأساس.</w:t>
            </w:r>
          </w:p>
        </w:tc>
      </w:tr>
      <w:tr>
        <w:trPr>
          <w:cantSplit/>
        </w:trPr>
        <w:tc>
          <w:tcPr>
            <w:tcMar>
              <w:top w:type="dxa" w:w="80"/>
              <w:left w:type="dxa" w:w="100"/>
              <w:bottom w:type="dxa" w:w="80"/>
              <w:right w:type="dxa" w:w="100"/>
            </w:tcMar>
          </w:tcPr>
          <w:p>
            <w:pPr>
              <w:bidi/>
              <w:spacing w:after="0"/>
            </w:pPr>
            <w:r>
              <w:rPr>
                <w:b w:val="false"/>
                <w:sz w:val="18"/>
                <w:szCs w:val="18"/>
                <w:rtl/>
              </w:rPr>
              <w:t xml:space="preserve">المستند الملزم</w:t>
            </w:r>
          </w:p>
        </w:tc>
        <w:tc>
          <w:tcPr>
            <w:tcMar>
              <w:top w:type="dxa" w:w="80"/>
              <w:left w:type="dxa" w:w="100"/>
              <w:bottom w:type="dxa" w:w="80"/>
              <w:right w:type="dxa" w:w="100"/>
            </w:tcMar>
          </w:tcPr>
          <w:p>
            <w:pPr>
              <w:bidi/>
              <w:spacing w:after="0"/>
            </w:pPr>
            <w:r>
              <w:rPr>
                <w:b w:val="false"/>
                <w:sz w:val="18"/>
                <w:szCs w:val="18"/>
                <w:rtl/>
              </w:rPr>
              <w:t xml:space="preserve">نموذج الجهة التي تقيّد الشركة، لا هذه القائمة.</w:t>
            </w:r>
          </w:p>
        </w:tc>
      </w:tr>
    </w:tbl>
    <w:p>
      <w:pPr>
        <w:bidi/>
      </w:pPr>
    </w:p>
    <w:p>
      <w:pPr>
        <w:pStyle w:val="Heading1"/>
        <w:pageBreakBefore/>
        <w:bidi/>
      </w:pPr>
      <w:r>
        <w:rPr>
          <w:rtl/>
        </w:rPr>
        <w:t xml:space="preserve">الملحق (1) — رأس المال والحصص</w:t>
      </w:r>
    </w:p>
    <w:p>
      <w:pPr>
        <w:bidi/>
      </w:pPr>
      <w:r>
        <w:rPr>
          <w:rtl/>
        </w:rPr>
        <w:t xml:space="preserve">تجمع النسب مائة. وقوّموا أي حصة عينية كتابة.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المؤسس / المالك</w:t>
            </w:r>
          </w:p>
        </w:tc>
        <w:tc>
          <w:tcPr>
            <w:shd w:fill="EDEDED" w:color="auto" w:val="clear"/>
            <w:tcMar>
              <w:top w:type="dxa" w:w="80"/>
              <w:left w:type="dxa" w:w="100"/>
              <w:bottom w:type="dxa" w:w="80"/>
              <w:right w:type="dxa" w:w="100"/>
            </w:tcMar>
          </w:tcPr>
          <w:p>
            <w:pPr>
              <w:bidi/>
              <w:spacing w:after="0"/>
            </w:pPr>
            <w:r>
              <w:rPr>
                <w:b/>
                <w:bCs/>
                <w:sz w:val="18"/>
                <w:szCs w:val="18"/>
                <w:rtl/>
              </w:rPr>
              <w:t xml:space="preserve">نقد</w:t>
            </w:r>
          </w:p>
        </w:tc>
        <w:tc>
          <w:tcPr>
            <w:shd w:fill="EDEDED" w:color="auto" w:val="clear"/>
            <w:tcMar>
              <w:top w:type="dxa" w:w="80"/>
              <w:left w:type="dxa" w:w="100"/>
              <w:bottom w:type="dxa" w:w="80"/>
              <w:right w:type="dxa" w:w="100"/>
            </w:tcMar>
          </w:tcPr>
          <w:p>
            <w:pPr>
              <w:bidi/>
              <w:spacing w:after="0"/>
            </w:pPr>
            <w:r>
              <w:rPr>
                <w:b/>
                <w:bCs/>
                <w:sz w:val="18"/>
                <w:szCs w:val="18"/>
                <w:rtl/>
              </w:rPr>
              <w:t xml:space="preserve">عين</w:t>
            </w:r>
          </w:p>
        </w:tc>
        <w:tc>
          <w:tcPr>
            <w:shd w:fill="EDEDED" w:color="auto" w:val="clear"/>
            <w:tcMar>
              <w:top w:type="dxa" w:w="80"/>
              <w:left w:type="dxa" w:w="100"/>
              <w:bottom w:type="dxa" w:w="80"/>
              <w:right w:type="dxa" w:w="100"/>
            </w:tcMar>
          </w:tcPr>
          <w:p>
            <w:pPr>
              <w:bidi/>
              <w:spacing w:after="0"/>
            </w:pPr>
            <w:r>
              <w:rPr>
                <w:b/>
                <w:bCs/>
                <w:sz w:val="18"/>
                <w:szCs w:val="18"/>
                <w:rtl/>
              </w:rPr>
              <w:t xml:space="preserve">الحصص أو الأسهم</w:t>
            </w:r>
          </w:p>
        </w:tc>
        <w:tc>
          <w:tcPr>
            <w:shd w:fill="EDEDED" w:color="auto" w:val="clear"/>
            <w:tcMar>
              <w:top w:type="dxa" w:w="80"/>
              <w:left w:type="dxa" w:w="100"/>
              <w:bottom w:type="dxa" w:w="80"/>
              <w:right w:type="dxa" w:w="100"/>
            </w:tcMar>
          </w:tcPr>
          <w:p>
            <w:pPr>
              <w:bidi/>
              <w:spacing w:after="0"/>
            </w:pPr>
            <w:r>
              <w:rPr>
                <w:b/>
                <w:bCs/>
                <w:sz w:val="18"/>
                <w:szCs w:val="18"/>
                <w:rtl/>
              </w:rPr>
              <w:t xml:space="preserve">النسبة</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المؤسس / المالك الأول</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وصف العين وقيمتها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عدد الحصص أو الأسهم</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النسبة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المؤسس الثاني إن وُجد</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المجموع</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100٪</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clekm_bjwa7tiooysdzdv">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‪https://www.qanu.ai/ar/نماذج/نموذج-نظام-أساسي‬ · آخر مراجعة: 29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نظام الشركات، الصادر بالمرسوم الملكي رقم (م/132) وتاريخ 1443/12/1هـ </w:t>
      </w:r>
      <w:hyperlink w:history="1" r:id="rIdy2zx89hguvhtk8aiv9e4x">
        <w:r>
          <w:rPr>
            <w:rStyle w:val="Hyperlink"/>
            <w:sz w:val="16"/>
            <w:szCs w:val="16"/>
          </w:rPr>
          <w:t xml:space="preserve">https://laws.boe.gov.sa/BoeLaws/Laws/LawDetails/a8376aea-1bc3-49d4-9027-aed900b555af/1</w:t>
        </w:r>
      </w:hyperlink>
    </w:p>
    <w:p>
      <w:pPr>
        <w:bidi/>
        <w:ind w:start="360" w:hanging="360"/>
      </w:pPr>
      <w:r>
        <w:rPr>
          <w:sz w:val="18"/>
          <w:szCs w:val="18"/>
          <w:rtl/>
        </w:rPr>
        <w:t xml:space="preserve">[2] المركز السعودي للأعمال، منصة التأسيس (الوصول مقيّد خارج المملكة) </w:t>
      </w:r>
      <w:hyperlink w:history="1" r:id="rIdcepbktgelkooxct6ohbk_">
        <w:r>
          <w:rPr>
            <w:rStyle w:val="Hyperlink"/>
            <w:sz w:val="16"/>
            <w:szCs w:val="16"/>
          </w:rPr>
          <w:t xml:space="preserve">https://business.sa/</w:t>
        </w:r>
      </w:hyperlink>
    </w:p>
    <w:p>
      <w:pPr>
        <w:bidi/>
        <w:ind w:start="360" w:hanging="360"/>
      </w:pPr>
      <w:r>
        <w:rPr>
          <w:sz w:val="18"/>
          <w:szCs w:val="18"/>
          <w:rtl/>
        </w:rPr>
        <w:t xml:space="preserve">[3] البوابة الرسمية لحكومة الإمارات (u.ae)، قانون الشركات التجارية (مرسوم بقانون اتحادي رقم 32 لسنة 2021) </w:t>
      </w:r>
      <w:hyperlink w:history="1" r:id="rId91_-arz3dfdzj6ezs6ong">
        <w:r>
          <w:rPr>
            <w:rStyle w:val="Hyperlink"/>
            <w:sz w:val="16"/>
            <w:szCs w:val="16"/>
          </w:rPr>
          <w:t xml:space="preserve">https://u.ae/en/information-and-services/business/Doing-business/doing-business-on-the-mainland/full-foreign-ownership-of-commercial-companies</w:t>
        </w:r>
      </w:hyperlink>
    </w:p>
    <w:p>
      <w:pPr>
        <w:bidi/>
        <w:ind w:start="360" w:hanging="360"/>
      </w:pPr>
      <w:r>
        <w:rPr>
          <w:sz w:val="18"/>
          <w:szCs w:val="18"/>
          <w:rtl/>
        </w:rPr>
        <w:t xml:space="preserve">[4] البوابة الرسمية لحكومة الإمارات (u.ae)، أين تُنشر القوانين الاتحادية </w:t>
      </w:r>
      <w:hyperlink w:history="1" r:id="rIdxb4cxtz6lenniz0tkc2fp">
        <w:r>
          <w:rPr>
            <w:rStyle w:val="Hyperlink"/>
            <w:sz w:val="16"/>
            <w:szCs w:val="16"/>
          </w:rPr>
          <w:t xml:space="preserve">https://u.ae/en/information-and-services/justice-safety-and-the-law/Law/how-are-uae-laws-issued-and-how-to-find-them/where-to-find-uae-federal-laws</w:t>
        </w:r>
      </w:hyperlink>
    </w:p>
    <w:p>
      <w:pPr>
        <w:bidi/>
        <w:ind w:start="360" w:hanging="360"/>
      </w:pPr>
      <w:r>
        <w:rPr>
          <w:sz w:val="18"/>
          <w:szCs w:val="18"/>
          <w:rtl/>
        </w:rPr>
        <w:t xml:space="preserve">[5] تشريعات الإمارات، المرسوم بقانون الاتحادي رقم (32) لسنة 2021 بشأن الشركات التجارية، النص الرسمي (PDF)، المادة (268): الشركة القابضة شركة مساهمة أو ذات مسؤولية محدودة تؤسس شركات تابعة لها داخل الدولة وخارجها، أو تسيطر على شركات قائمة بتملك حصص أو أسهم تخولها التحكم بإدارتها والتأثير في قراراتها </w:t>
      </w:r>
      <w:hyperlink w:history="1" r:id="rIdjlwddbrpd14ubmtfszkir">
        <w:r>
          <w:rPr>
            <w:rStyle w:val="Hyperlink"/>
            <w:sz w:val="16"/>
            <w:szCs w:val="16"/>
          </w:rPr>
          <w:t xml:space="preserve">https://uaelegislation.gov.ae/ar/legislations/1542/download</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pPr>
      <w:r>
        <w:rPr>
          <w:b/>
          <w:bCs/>
          <w:rtl/>
        </w:rPr>
        <w:t xml:space="preserve">ملاحظة صياغة</w:t>
      </w:r>
    </w:p>
    <w:p>
      <w:pPr>
        <w:bidi/>
      </w:pPr>
      <w:r>
        <w:rPr>
          <w:rtl/>
        </w:rPr>
        <w:t xml:space="preserve">الذ.م.م متعددة الشركاء تستخدم </w:t>
      </w:r>
      <w:hyperlink w:history="1" r:id="rIdtoe-mn0htfmxoxneltyka">
        <w:r>
          <w:rPr>
            <w:rStyle w:val="Hyperlink"/>
            <w:rtl/>
          </w:rPr>
          <w:t xml:space="preserve">عقد التأسيس</w:t>
        </w:r>
      </w:hyperlink>
      <w:r>
        <w:rPr>
          <w:rtl/>
        </w:rPr>
        <w:t xml:space="preserve">، لا هذا النظام.</w:t>
      </w:r>
      <w:r>
        <w:rPr>
          <w:rtl/>
        </w:rPr>
        <w:t xml:space="preserve"> [1]</w:t>
      </w:r>
    </w:p>
  </w:comment>
  <w:comment w:id="1" w:initials="Q" w:author="Qanu" w:date="2026-10-29T00:00:00.000Z">
    <w:p>
      <w:pPr>
        <w:bidi/>
      </w:pPr>
      <w:r>
        <w:rPr>
          <w:b/>
          <w:bCs/>
          <w:rtl/>
        </w:rPr>
        <w:t xml:space="preserve">ملاحظة صياغة</w:t>
      </w:r>
    </w:p>
    <w:p>
      <w:pPr>
        <w:bidi/>
      </w:pPr>
      <w:r>
        <w:rPr>
          <w:rtl/>
        </w:rPr>
        <w:t xml:space="preserve">هذه القائمة لا تمنح ترخيصاً.</w:t>
      </w:r>
    </w:p>
  </w:comment>
  <w:comment w:id="2" w:initials="Q" w:author="Qanu" w:date="2026-10-29T00:00:00.000Z">
    <w:p>
      <w:pPr>
        <w:bidi/>
      </w:pPr>
      <w:r>
        <w:rPr>
          <w:b/>
          <w:bCs/>
          <w:rtl/>
        </w:rPr>
        <w:t xml:space="preserve">ملاحظة صياغة</w:t>
      </w:r>
    </w:p>
    <w:p>
      <w:pPr>
        <w:bidi/>
      </w:pPr>
      <w:r>
        <w:rPr>
          <w:rtl/>
        </w:rPr>
        <w:t xml:space="preserve">هذه الصفحة لا تذكر حداً أدنى لرأس المال. تحققوا منه في منصة التأسيس.</w:t>
      </w:r>
    </w:p>
  </w:comment>
  <w:comment w:id="3" w:initials="Q" w:author="Qanu" w:date="2026-10-29T00:00:00.000Z">
    <w:p>
      <w:pPr>
        <w:bidi/>
      </w:pPr>
      <w:r>
        <w:rPr>
          <w:b/>
          <w:bCs/>
          <w:rtl/>
        </w:rPr>
        <w:t xml:space="preserve">ملاحظة صياغة</w:t>
      </w:r>
    </w:p>
    <w:p>
      <w:pPr>
        <w:bidi/>
      </w:pPr>
      <w:r>
        <w:rPr>
          <w:rtl/>
        </w:rPr>
        <w:t xml:space="preserve">في الشركة ذات المسؤولية المحدودة من شخص واحد يمارس المالك صلاحيات الجمعية العامة، وقراراته مكتوبة (المادة السابعة والخمسون بعد المائة).</w:t>
      </w:r>
      <w:r>
        <w:rPr>
          <w:rtl/>
        </w:rPr>
        <w:t xml:space="preserve"> [1]</w:t>
      </w:r>
    </w:p>
  </w:comment>
  <w:comment w:id="4" w:initials="Q" w:author="Qanu" w:date="2026-10-29T00:00:00.000Z">
    <w:p>
      <w:pPr>
        <w:bidi/>
      </w:pPr>
      <w:r>
        <w:rPr>
          <w:b/>
          <w:bCs/>
          <w:rtl/>
        </w:rPr>
        <w:t xml:space="preserve">ملاحظة صياغة</w:t>
      </w:r>
    </w:p>
    <w:p>
      <w:pPr>
        <w:bidi/>
      </w:pPr>
      <w:r>
        <w:rPr>
          <w:rtl/>
        </w:rPr>
        <w:t xml:space="preserve">هذا النموذج لا يخترع نصاباً ولا أغلبية.</w:t>
      </w:r>
    </w:p>
  </w:comment>
  <w:comment w:id="5" w:initials="Q" w:author="Qanu" w:date="2026-10-29T00:00:00.000Z">
    <w:p>
      <w:pPr>
        <w:bidi/>
      </w:pPr>
      <w:r>
        <w:rPr>
          <w:b/>
          <w:bCs/>
          <w:rtl/>
        </w:rPr>
        <w:t xml:space="preserve">ملاحظة صياغة</w:t>
      </w:r>
    </w:p>
    <w:p>
      <w:pPr>
        <w:bidi/>
      </w:pPr>
      <w:r>
        <w:rPr>
          <w:rtl/>
        </w:rPr>
        <w:t xml:space="preserve">التوقيع على هذه القائمة لا يقيد الشركة. والقيد ما يتم في المركز السعودي للأعمال أو لدى جهة القيد في الدولة الأخرى.</w:t>
      </w:r>
      <w:r>
        <w:rPr>
          <w:rtl/>
        </w:rPr>
        <w:t xml:space="preserve"> [2]</w:t>
      </w:r>
      <w:r>
        <w:rPr>
          <w:rtl/>
        </w:rPr>
        <w:t xml:space="preserve"> انظروا </w:t>
      </w:r>
      <w:hyperlink w:history="1" r:id="rId0rzaybnabt0w4cqbdwosu">
        <w:r>
          <w:rPr>
            <w:rStyle w:val="Hyperlink"/>
            <w:rtl/>
          </w:rPr>
          <w:t xml:space="preserve">النظام الأساسي</w:t>
        </w:r>
      </w:hyperlink>
      <w:r>
        <w:rPr>
          <w:rtl/>
        </w:rPr>
        <w:t xml:space="preserve"> و</w:t>
      </w:r>
      <w:hyperlink w:history="1" r:id="rIds_jkyr9rz9ps4ilyiurbz">
        <w:r>
          <w:rPr>
            <w:rStyle w:val="Hyperlink"/>
            <w:rtl/>
          </w:rPr>
          <w:t xml:space="preserve">السجل التجاري</w:t>
        </w:r>
      </w:hyperlink>
      <w:r>
        <w:rPr>
          <w:rtl/>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B0F8F0FB-E942-F4C7-0724-D33FC504A0C8}"/>
    <w:embedBold r:id="rId2" w:fontKey="{AA4B1466-0F99-917B-A52B-92507EDDE6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29 أكتوبر 2026 – ‪https://www.qanu.ai/ar/نماذج/نموذج-نظام-أساسي‬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29 أكتوبر 2026 – ‪https://www.qanu.ai/ar/نماذج/نموذج-نظام-أساسي‬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toe-mn0htfmxoxneltyka" Type="http://schemas.openxmlformats.org/officeDocument/2006/relationships/hyperlink" Target="https://www.qanu.ai/ar/%D9%86%D9%85%D8%A7%D8%B0%D8%AC/%D9%86%D9%85%D9%88%D8%B0%D8%AC-%D8%B9%D9%82%D8%AF-%D8%AA%D8%A3%D8%B3%D9%8A%D8%B3-%D8%B4%D8%B1%D9%83%D8%A9" TargetMode="External"/><Relationship Id="rId0rzaybnabt0w4cqbdwosu" Type="http://schemas.openxmlformats.org/officeDocument/2006/relationships/hyperlink" Target="https://www.qanu.ai/ar/%D9%85%D8%B3%D8%B1%D8%AF-%D9%82%D8%A7%D9%86%D9%88%D9%86%D9%8A/%D9%86%D8%B8%D8%A7%D9%85-%D8%A3%D8%B3%D8%A7%D8%B3%D9%8A" TargetMode="External"/><Relationship Id="rIds_jkyr9rz9ps4ilyiurbz" Type="http://schemas.openxmlformats.org/officeDocument/2006/relationships/hyperlink" Target="https://www.qanu.ai/ar/%D9%85%D8%B3%D8%B1%D8%AF-%D9%82%D8%A7%D9%86%D9%88%D9%86%D9%8A/%D8%B3%D8%AC%D9%84-%D8%AA%D8%AC%D8%A7%D8%B1%D9%8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cnvbldiygac3avyrbus7n" Type="http://schemas.openxmlformats.org/officeDocument/2006/relationships/hyperlink" Target="https://laws.boe.gov.sa/BoeLaws/Laws/LawDetails/a8376aea-1bc3-49d4-9027-aed900b555af/1" TargetMode="External"/><Relationship Id="rId8ts1zvgkujlgelqlci_wj" Type="http://schemas.openxmlformats.org/officeDocument/2006/relationships/hyperlink" Target="https://business.sa/" TargetMode="External"/><Relationship Id="rIdqtlqxfz6w3oxataui9cri" Type="http://schemas.openxmlformats.org/officeDocument/2006/relationships/hyperlink" Target="https://u.ae/en/information-and-services/business/Doing-business/doing-business-on-the-mainland/full-foreign-ownership-of-commercial-companies" TargetMode="External"/><Relationship Id="rIdjewvmpf6x3hdn6cnzf5yb" Type="http://schemas.openxmlformats.org/officeDocument/2006/relationships/hyperlink" Target="https://www.qanu.ai/ar/%D9%86%D9%85%D8%A7%D8%B0%D8%AC/%D9%86%D9%85%D9%88%D8%B0%D8%AC-%D8%AA%D9%86%D8%A7%D8%B2%D9%84-%D8%B9%D9%86-%D8%AD%D8%B5%D8%B5" TargetMode="External"/><Relationship Id="rIdclekm_bjwa7tiooysdzdv" Type="http://schemas.openxmlformats.org/officeDocument/2006/relationships/hyperlink" Target="https://creativecommons.org/licenses/by/4.0/deed.ar" TargetMode="External"/><Relationship Id="rIdy2zx89hguvhtk8aiv9e4x" Type="http://schemas.openxmlformats.org/officeDocument/2006/relationships/hyperlink" Target="https://laws.boe.gov.sa/BoeLaws/Laws/LawDetails/a8376aea-1bc3-49d4-9027-aed900b555af/1" TargetMode="External"/><Relationship Id="rIdcepbktgelkooxct6ohbk_" Type="http://schemas.openxmlformats.org/officeDocument/2006/relationships/hyperlink" Target="https://business.sa/" TargetMode="External"/><Relationship Id="rId91_-arz3dfdzj6ezs6ong" Type="http://schemas.openxmlformats.org/officeDocument/2006/relationships/hyperlink" Target="https://u.ae/en/information-and-services/business/Doing-business/doing-business-on-the-mainland/full-foreign-ownership-of-commercial-companies" TargetMode="External"/><Relationship Id="rIdxb4cxtz6lenniz0tkc2fp" Type="http://schemas.openxmlformats.org/officeDocument/2006/relationships/hyperlink" Target="https://u.ae/en/information-and-services/justice-safety-and-the-law/Law/how-are-uae-laws-issued-and-how-to-find-them/where-to-find-uae-federal-laws" TargetMode="External"/><Relationship Id="rIdjlwddbrpd14ubmtfszkir" Type="http://schemas.openxmlformats.org/officeDocument/2006/relationships/hyperlink" Target="https://uaelegislation.gov.ae/ar/legislations/1542/download"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نظام أساسي (Word و PDF)</dc:title>
  <dc:creator>Qanu</dc:creator>
  <cp:keywords>نظام أساس, النظام الأساسي, نظام الشركات</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2026-10-29T11:28:02.519Z</dcterms:created>
  <dcterms:modified xsi:type="dcterms:W3CDTF">2026-10-29T11:28:02.519Z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https://www.qanu.ai/ar/نماذج/نموذج-نظام-أساسي</vt:lpwstr>
  </property>
</Properties>
</file>