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The binding document is the one the registrar issues.</w:t>
      </w:r>
      <w:r>
        <w:rPr>
          <w:rtl w:val="false"/>
        </w:rPr>
        <w:t xml:space="preserve"> In Saudi Arabia every company has a memorandum, except a joint-stock company, a simplified joint-stock company and a one-person limited liability company, which each have </w:t>
      </w:r>
      <w:r>
        <w:rPr>
          <w:b/>
          <w:bCs/>
          <w:rtl w:val="false"/>
        </w:rPr>
        <w:t xml:space="preserve">articles</w:t>
      </w:r>
      <w:r>
        <w:rPr>
          <w:rtl w:val="false"/>
        </w:rPr>
        <w:t xml:space="preserve"> (نظام أساس). Both documents are in Arabic (Article 7 of the Companies Law, Royal Decree No. M/132 of 1/12/1443H).</w:t>
      </w:r>
      <w:r>
        <w:rPr>
          <w:rtl w:val="false"/>
        </w:rPr>
        <w:t xml:space="preserve"> [1]</w:t>
      </w:r>
      <w:r>
        <w:rPr>
          <w:rtl w:val="false"/>
        </w:rPr>
        <w:t xml:space="preserve"> In the one-person company the owner holds the powers of the general assembly, and a reference to the memorandum means the articles (Article 157).</w:t>
      </w:r>
      <w:r>
        <w:rPr>
          <w:rtl w:val="false"/>
        </w:rPr>
        <w:t xml:space="preserve"> [1]</w:t>
      </w:r>
      <w:r>
        <w:rPr>
          <w:rtl w:val="false"/>
        </w:rPr>
        <w:t xml:space="preserve"> Incorporate through the Saudi Business Center and use the documents it generates.</w:t>
      </w:r>
      <w:r>
        <w:rPr>
          <w:rtl w:val="false"/>
        </w:rPr>
        <w:t xml:space="preserve"> [2]</w:t>
      </w:r>
      <w:r>
        <w:rPr>
          <w:rtl w:val="false"/>
        </w:rPr>
        <w:t xml:space="preserve"> In the UAE, Federal Decree-Law No. 32 of 2021. Which document each form needs is under review.</w:t>
      </w:r>
      <w:r>
        <w:rPr>
          <w:rtl w:val="false"/>
        </w:rPr>
        <w:t xml:space="preserve"> [3]</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Companies Law: </w:t>
      </w:r>
      <w:hyperlink w:history="1" r:id="rIdnxix8l9zy-yljj5av9q_f">
        <w:r>
          <w:rPr>
            <w:rStyle w:val="Hyperlink"/>
            <w:sz w:val="17"/>
            <w:szCs w:val="17"/>
          </w:rPr>
          <w:t xml:space="preserve">https://laws.boe.gov.sa/BoeLaws/Laws/LawDetails/a8376aea-1bc3-49d4-9027-aed900b555af/1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Saudi Business Center: </w:t>
      </w:r>
      <w:hyperlink w:history="1" r:id="rIdc4ky0bkpvgn-oqz2peydh">
        <w:r>
          <w:rPr>
            <w:rStyle w:val="Hyperlink"/>
            <w:sz w:val="17"/>
            <w:szCs w:val="17"/>
          </w:rPr>
          <w:t xml:space="preserve">https://business.sa/</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Commercial Companies Law: </w:t>
      </w:r>
      <w:hyperlink w:history="1" r:id="rId4w1vsilzy_ewk-n3l8zcd">
        <w:r>
          <w:rPr>
            <w:rStyle w:val="Hyperlink"/>
            <w:sz w:val="17"/>
            <w:szCs w:val="17"/>
          </w:rPr>
          <w:t xml:space="preserve">https://u.ae/en/information-and-services/business/Doing-business/doing-business-on-the-mainland/full-foreign-ownership-of-commercial-companies</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UAE:</w:t>
      </w:r>
      <w:r>
        <w:rPr>
          <w:sz w:val="19"/>
          <w:szCs w:val="19"/>
          <w:rtl w:val="false"/>
        </w:rPr>
        <w:t xml:space="preserve"> Federal Decree-Law No. 32 of 2021. Which constitutional document each form needs is under review. No article number.</w:t>
      </w:r>
      <w:r>
        <w:rPr>
          <w:sz w:val="19"/>
          <w:szCs w:val="19"/>
          <w:rtl w:val="false"/>
        </w:rPr>
        <w:t xml:space="preserve"> [3][4]</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Bahrain, Qatar, Kuwait, Oman:</w:t>
      </w:r>
      <w:r>
        <w:rPr>
          <w:sz w:val="19"/>
          <w:szCs w:val="19"/>
          <w:rtl w:val="false"/>
        </w:rPr>
        <w:t xml:space="preserve"> under review. No article number is stated.</w:t>
      </w:r>
    </w:p>
    <w:p>
      <w:pPr>
        <w:bidi w:val="false"/>
        <w:spacing w:after="240"/>
      </w:pPr>
    </w:p>
    <w:p>
      <w:pPr>
        <w:pStyle w:val="Title"/>
        <w:bidi w:val="false"/>
      </w:pPr>
      <w:r>
        <w:rPr>
          <w:rtl w:val="false"/>
        </w:rPr>
        <w:t xml:space="preserve">Articles of association</w:t>
      </w:r>
    </w:p>
    <w:p>
      <w:pPr>
        <w:bidi w:val="false"/>
        <w:spacing w:after="240"/>
      </w:pPr>
      <w:r>
        <w:rPr>
          <w:color w:val="444444"/>
          <w:rtl w:val="false"/>
        </w:rPr>
        <w:t xml:space="preserve">A founders’ checklist for articles of association (نظام أساس) in the GCC: name, form, objects, office, capital, management and winding up. It does not incorporate the company and it does not replace the document the registrar issues.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w:t>
      </w:r>
    </w:p>
    <w:p>
      <w:pPr>
        <w:pStyle w:val="Heading1"/>
        <w:bidi w:val="false"/>
      </w:pPr>
      <w:commentRangeStart w:id="0"/>
      <w:r>
        <w:rPr>
          <w:rtl w:val="false"/>
        </w:rPr>
        <w:t xml:space="preserve">1. Name and form</w:t>
      </w:r>
      <w:commentRangeEnd w:id="0"/>
      <w:r>
        <w:rPr>
          <w:rtl w:val="false"/>
        </w:rPr>
        <w:commentReference w:id="0"/>
      </w:r>
    </w:p>
    <w:p>
      <w:pPr>
        <w:bidi w:val="false"/>
      </w:pPr>
      <w:r>
        <w:rPr>
          <w:rtl w:val="false"/>
        </w:rPr>
        <w:t xml:space="preserve">Company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Form: </w:t>
      </w:r>
      <w:r>
        <w:rPr>
          <w:highlight w:val="yellow"/>
          <w:rtl w:val="false"/>
        </w:rPr>
        <w:t xml:space="preserve">[</w:t>
      </w:r>
      <w:r>
        <w:rPr>
          <w:highlight w:val="yellow"/>
          <w:rtl w:val="false"/>
        </w:rPr>
        <w:t xml:space="preserve">joint-stock company / simplified joint-stock company / one-person limited liability company</w:t>
      </w:r>
      <w:r>
        <w:rPr>
          <w:highlight w:val="yellow"/>
          <w:rtl w:val="false"/>
        </w:rPr>
        <w:t xml:space="preserve">]</w:t>
      </w:r>
      <w:r>
        <w:rPr>
          <w:rtl w:val="false"/>
        </w:rPr>
        <w:t xml:space="preserve">. The official document uses the name the registrar accepts.</w:t>
      </w:r>
    </w:p>
    <w:p>
      <w:pPr>
        <w:pStyle w:val="Heading1"/>
        <w:bidi w:val="false"/>
      </w:pPr>
      <w:commentRangeStart w:id="1"/>
      <w:r>
        <w:rPr>
          <w:rtl w:val="false"/>
        </w:rPr>
        <w:t xml:space="preserve">2. Objects and activities</w:t>
      </w:r>
      <w:commentRangeEnd w:id="1"/>
      <w:r>
        <w:rPr>
          <w:rtl w:val="false"/>
        </w:rPr>
        <w:commentReference w:id="1"/>
      </w:r>
    </w:p>
    <w:p>
      <w:pPr>
        <w:bidi w:val="false"/>
      </w:pPr>
      <w:r>
        <w:rPr>
          <w:rtl w:val="false"/>
        </w:rPr>
        <w:t xml:space="preserve">Objects: </w:t>
      </w:r>
      <w:r>
        <w:rPr>
          <w:highlight w:val="yellow"/>
          <w:rtl w:val="false"/>
        </w:rPr>
        <w:t xml:space="preserve">[</w:t>
      </w:r>
      <w:r>
        <w:rPr>
          <w:highlight w:val="yellow"/>
          <w:rtl w:val="false"/>
        </w:rPr>
        <w:t xml:space="preserve">describe the activities</w:t>
      </w:r>
      <w:r>
        <w:rPr>
          <w:highlight w:val="yellow"/>
          <w:rtl w:val="false"/>
        </w:rPr>
        <w:t xml:space="preserve">]</w:t>
      </w:r>
      <w:r>
        <w:rPr>
          <w:rtl w:val="false"/>
        </w:rPr>
        <w:t xml:space="preserve">. Each activity is carried on only after the licence the competent authority requires.</w:t>
      </w:r>
    </w:p>
    <w:p>
      <w:pPr>
        <w:pStyle w:val="Heading1"/>
        <w:bidi w:val="false"/>
      </w:pPr>
      <w:r>
        <w:rPr>
          <w:rtl w:val="false"/>
        </w:rPr>
        <w:t xml:space="preserve">3. Head office and term</w:t>
      </w:r>
    </w:p>
    <w:p>
      <w:pPr>
        <w:bidi w:val="false"/>
      </w:pPr>
      <w:r>
        <w:rPr>
          <w:rtl w:val="false"/>
        </w:rPr>
        <w:t xml:space="preserve">The head office is in </w:t>
      </w:r>
      <w:r>
        <w:rPr>
          <w:highlight w:val="yellow"/>
          <w:rtl w:val="false"/>
        </w:rPr>
        <w:t xml:space="preserve">[</w:t>
      </w:r>
      <w:r>
        <w:rPr>
          <w:highlight w:val="yellow"/>
          <w:rtl w:val="false"/>
        </w:rPr>
        <w:t xml:space="preserve">city, country</w:t>
      </w:r>
      <w:r>
        <w:rPr>
          <w:highlight w:val="yellow"/>
          <w:rtl w:val="false"/>
        </w:rPr>
        <w:t xml:space="preserve">]</w:t>
      </w:r>
      <w:r>
        <w:rPr>
          <w:rtl w:val="false"/>
        </w:rPr>
        <w:t xml:space="preserve">. The company may open branches by a decision of </w:t>
      </w:r>
      <w:r>
        <w:rPr>
          <w:highlight w:val="yellow"/>
          <w:rtl w:val="false"/>
        </w:rPr>
        <w:t xml:space="preserve">[</w:t>
      </w:r>
      <w:r>
        <w:rPr>
          <w:highlight w:val="yellow"/>
          <w:rtl w:val="false"/>
        </w:rPr>
        <w:t xml:space="preserve">the manager / the board / the owner</w:t>
      </w:r>
      <w:r>
        <w:rPr>
          <w:highlight w:val="yellow"/>
          <w:rtl w:val="false"/>
        </w:rPr>
        <w:t xml:space="preserve">]</w:t>
      </w:r>
      <w:r>
        <w:rPr>
          <w:rtl w:val="false"/>
        </w:rPr>
        <w:t xml:space="preserve">.</w:t>
      </w:r>
    </w:p>
    <w:p>
      <w:pPr>
        <w:bidi w:val="false"/>
      </w:pPr>
      <w:r>
        <w:rPr>
          <w:rtl w:val="false"/>
        </w:rPr>
        <w:t xml:space="preserve">The term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years from registration, and it renews </w:t>
      </w:r>
      <w:r>
        <w:rPr>
          <w:highlight w:val="yellow"/>
          <w:rtl w:val="false"/>
        </w:rPr>
        <w:t xml:space="preserve">[</w:t>
      </w:r>
      <w:r>
        <w:rPr>
          <w:highlight w:val="yellow"/>
          <w:rtl w:val="false"/>
        </w:rPr>
        <w:t xml:space="preserve">automatically / by decision</w:t>
      </w:r>
      <w:r>
        <w:rPr>
          <w:highlight w:val="yellow"/>
          <w:rtl w:val="false"/>
        </w:rPr>
        <w:t xml:space="preserve">]</w:t>
      </w:r>
      <w:r>
        <w:rPr>
          <w:rtl w:val="false"/>
        </w:rPr>
        <w:t xml:space="preserve"> unless </w:t>
      </w:r>
      <w:r>
        <w:rPr>
          <w:highlight w:val="yellow"/>
          <w:rtl w:val="false"/>
        </w:rPr>
        <w:t xml:space="preserve">[</w:t>
      </w:r>
      <w:r>
        <w:rPr>
          <w:highlight w:val="yellow"/>
          <w:rtl w:val="false"/>
        </w:rPr>
        <w:t xml:space="preserve">the owner / the shareholders</w:t>
      </w:r>
      <w:r>
        <w:rPr>
          <w:highlight w:val="yellow"/>
          <w:rtl w:val="false"/>
        </w:rPr>
        <w:t xml:space="preserve">]</w:t>
      </w:r>
      <w:r>
        <w:rPr>
          <w:rtl w:val="false"/>
        </w:rPr>
        <w:t xml:space="preserve"> decide otherwise.</w:t>
      </w:r>
    </w:p>
    <w:p>
      <w:pPr>
        <w:pStyle w:val="Heading1"/>
        <w:bidi w:val="false"/>
      </w:pPr>
      <w:commentRangeStart w:id="2"/>
      <w:r>
        <w:rPr>
          <w:rtl w:val="false"/>
        </w:rPr>
        <w:t xml:space="preserve">4. Capital</w:t>
      </w:r>
      <w:commentRangeEnd w:id="2"/>
      <w:r>
        <w:rPr>
          <w:rtl w:val="false"/>
        </w:rPr>
        <w:commentReference w:id="2"/>
      </w:r>
    </w:p>
    <w:p>
      <w:pPr>
        <w:bidi w:val="false"/>
      </w:pPr>
      <w:r>
        <w:rPr>
          <w:rtl w:val="false"/>
        </w:rPr>
        <w:t xml:space="preserve">The capital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divided into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shares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each, held as Annex 1 sets out.</w:t>
      </w:r>
    </w:p>
    <w:p>
      <w:pPr>
        <w:bidi w:val="false"/>
      </w:pPr>
      <w:r>
        <w:rPr>
          <w:rtl w:val="false"/>
        </w:rPr>
        <w:t xml:space="preserve">In-kind contribution: </w:t>
      </w:r>
      <w:r>
        <w:rPr>
          <w:highlight w:val="yellow"/>
          <w:rtl w:val="false"/>
        </w:rPr>
        <w:t xml:space="preserve">[</w:t>
      </w:r>
      <w:r>
        <w:rPr>
          <w:highlight w:val="yellow"/>
          <w:rtl w:val="false"/>
        </w:rPr>
        <w:t xml:space="preserve">describe it, who contributes it, and how it is valued</w:t>
      </w:r>
      <w:r>
        <w:rPr>
          <w:highlight w:val="yellow"/>
          <w:rtl w:val="false"/>
        </w:rPr>
        <w:t xml:space="preserve">]</w:t>
      </w:r>
      <w:r>
        <w:rPr>
          <w:rtl w:val="false"/>
        </w:rPr>
        <w:t xml:space="preserve">. Title passes to the company as the registrar requires.</w:t>
      </w:r>
    </w:p>
    <w:p>
      <w:pPr>
        <w:pStyle w:val="Heading1"/>
        <w:bidi w:val="false"/>
      </w:pPr>
      <w:commentRangeStart w:id="3"/>
      <w:r>
        <w:rPr>
          <w:rtl w:val="false"/>
        </w:rPr>
        <w:t xml:space="preserve">5. Management and the owner’s powers</w:t>
      </w:r>
      <w:commentRangeEnd w:id="3"/>
      <w:r>
        <w:rPr>
          <w:rtl w:val="false"/>
        </w:rPr>
        <w:commentReference w:id="3"/>
      </w:r>
    </w:p>
    <w:p>
      <w:pPr>
        <w:bidi w:val="false"/>
      </w:pPr>
      <w:r>
        <w:rPr>
          <w:highlight w:val="yellow"/>
          <w:rtl w:val="false"/>
        </w:rPr>
        <w:t xml:space="preserve">[</w:t>
      </w:r>
      <w:r>
        <w:rPr>
          <w:highlight w:val="yellow"/>
          <w:rtl w:val="false"/>
        </w:rPr>
        <w:t xml:space="preserve">A manager / a board / the owner</w:t>
      </w:r>
      <w:r>
        <w:rPr>
          <w:highlight w:val="yellow"/>
          <w:rtl w:val="false"/>
        </w:rPr>
        <w:t xml:space="preserve">]</w:t>
      </w:r>
      <w:r>
        <w:rPr>
          <w:rtl w:val="false"/>
        </w:rPr>
        <w:t xml:space="preserve"> manages the company: </w:t>
      </w:r>
      <w:r>
        <w:rPr>
          <w:highlight w:val="yellow"/>
          <w:rtl w:val="false"/>
        </w:rPr>
        <w:t xml:space="preserve">[</w:t>
      </w:r>
      <w:r>
        <w:rPr>
          <w:highlight w:val="yellow"/>
          <w:rtl w:val="false"/>
        </w:rPr>
        <w:t xml:space="preserve">name, ID</w:t>
      </w:r>
      <w:r>
        <w:rPr>
          <w:highlight w:val="yellow"/>
          <w:rtl w:val="false"/>
        </w:rPr>
        <w:t xml:space="preserve">]</w:t>
      </w:r>
      <w:r>
        <w:rPr>
          <w:rtl w:val="false"/>
        </w:rPr>
        <w:t xml:space="preserve">. The appointment runs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bidi w:val="false"/>
      </w:pPr>
      <w:r>
        <w:rPr>
          <w:rtl w:val="false"/>
        </w:rPr>
        <w:t xml:space="preserve">Powers: </w:t>
      </w:r>
      <w:r>
        <w:rPr>
          <w:highlight w:val="yellow"/>
          <w:rtl w:val="false"/>
        </w:rPr>
        <w:t xml:space="preserve">[</w:t>
      </w:r>
      <w:r>
        <w:rPr>
          <w:highlight w:val="yellow"/>
          <w:rtl w:val="false"/>
        </w:rPr>
        <w:t xml:space="preserve">day-to-day management, signing, bank accounts</w:t>
      </w:r>
      <w:r>
        <w:rPr>
          <w:highlight w:val="yellow"/>
          <w:rtl w:val="false"/>
        </w:rPr>
        <w:t xml:space="preserve">]</w:t>
      </w:r>
      <w:r>
        <w:rPr>
          <w:rtl w:val="false"/>
        </w:rPr>
        <w:t xml:space="preserve">. A written decision is required for: </w:t>
      </w:r>
      <w:r>
        <w:rPr>
          <w:highlight w:val="yellow"/>
          <w:rtl w:val="false"/>
        </w:rPr>
        <w:t xml:space="preserve">[</w:t>
      </w:r>
      <w:r>
        <w:rPr>
          <w:highlight w:val="yellow"/>
          <w:rtl w:val="false"/>
        </w:rPr>
        <w:t xml:space="preserve">borrowing above ● / disposing of assets above ● / opening a branch</w:t>
      </w:r>
      <w:r>
        <w:rPr>
          <w:highlight w:val="yellow"/>
          <w:rtl w:val="false"/>
        </w:rPr>
        <w:t xml:space="preserve">]</w:t>
      </w:r>
      <w:r>
        <w:rPr>
          <w:rtl w:val="false"/>
        </w:rPr>
        <w:t xml:space="preserve">.</w:t>
      </w:r>
    </w:p>
    <w:p>
      <w:pPr>
        <w:pStyle w:val="Heading1"/>
        <w:bidi w:val="false"/>
      </w:pPr>
      <w:commentRangeStart w:id="4"/>
      <w:r>
        <w:rPr>
          <w:rtl w:val="false"/>
        </w:rPr>
        <w:t xml:space="preserve">6. Decisions</w:t>
      </w:r>
      <w:commentRangeEnd w:id="4"/>
      <w:r>
        <w:rPr>
          <w:rtl w:val="false"/>
        </w:rPr>
        <w:commentReference w:id="4"/>
      </w:r>
    </w:p>
    <w:p>
      <w:pPr>
        <w:bidi w:val="false"/>
      </w:pPr>
      <w:r>
        <w:rPr>
          <w:rtl w:val="false"/>
        </w:rPr>
        <w:t xml:space="preserve">Decisions are taken in a meeting or by circulation. Quorum and majority: </w:t>
      </w:r>
      <w:r>
        <w:rPr>
          <w:highlight w:val="yellow"/>
          <w:rtl w:val="false"/>
        </w:rPr>
        <w:t xml:space="preserve">[</w:t>
      </w:r>
      <w:r>
        <w:rPr>
          <w:highlight w:val="yellow"/>
          <w:rtl w:val="false"/>
        </w:rPr>
        <w:t xml:space="preserve">fill these from the registrar’s form; do not leave them blank at registration</w:t>
      </w:r>
      <w:r>
        <w:rPr>
          <w:highlight w:val="yellow"/>
          <w:rtl w:val="false"/>
        </w:rPr>
        <w:t xml:space="preserve">]</w:t>
      </w:r>
      <w:r>
        <w:rPr>
          <w:rtl w:val="false"/>
        </w:rPr>
        <w:t xml:space="preserve">.</w:t>
      </w:r>
    </w:p>
    <w:p>
      <w:pPr>
        <w:bidi w:val="false"/>
      </w:pPr>
      <w:r>
        <w:rPr>
          <w:rtl w:val="false"/>
        </w:rPr>
        <w:t xml:space="preserve">Decisions are written, signed and kept in the company’s record.</w:t>
      </w:r>
    </w:p>
    <w:p>
      <w:pPr>
        <w:pStyle w:val="Heading1"/>
        <w:bidi w:val="false"/>
      </w:pPr>
      <w:r>
        <w:rPr>
          <w:rtl w:val="false"/>
        </w:rPr>
        <w:t xml:space="preserve">7. Profits and transfer</w:t>
      </w:r>
    </w:p>
    <w:p>
      <w:pPr>
        <w:bidi w:val="false"/>
      </w:pPr>
      <w:r>
        <w:rPr>
          <w:rtl w:val="false"/>
        </w:rPr>
        <w:t xml:space="preserve">Distributable profits are shared in proportion to the shares, after </w:t>
      </w:r>
      <w:r>
        <w:rPr>
          <w:highlight w:val="yellow"/>
          <w:rtl w:val="false"/>
        </w:rPr>
        <w:t xml:space="preserve">[</w:t>
      </w:r>
      <w:r>
        <w:rPr>
          <w:highlight w:val="yellow"/>
          <w:rtl w:val="false"/>
        </w:rPr>
        <w:t xml:space="preserve">what is set aside</w:t>
      </w:r>
      <w:r>
        <w:rPr>
          <w:highlight w:val="yellow"/>
          <w:rtl w:val="false"/>
        </w:rPr>
        <w:t xml:space="preserve">]</w:t>
      </w:r>
      <w:r>
        <w:rPr>
          <w:rtl w:val="false"/>
        </w:rPr>
        <w:t xml:space="preserve">. Losses are borne in proportion to the shares, within the limit of each share.</w:t>
      </w:r>
    </w:p>
    <w:p>
      <w:pPr>
        <w:bidi w:val="false"/>
      </w:pPr>
      <w:r>
        <w:rPr>
          <w:rtl w:val="false"/>
        </w:rPr>
        <w:t xml:space="preserve">A transfer of shares follows the registrar’s form and, after incorporation, the </w:t>
      </w:r>
      <w:hyperlink w:history="1" r:id="rIdejkyw8ytus2orcxmuyjix">
        <w:r>
          <w:rPr>
            <w:rStyle w:val="Hyperlink"/>
            <w:rtl w:val="false"/>
          </w:rPr>
          <w:t xml:space="preserve">share transfer agreement</w:t>
        </w:r>
      </w:hyperlink>
      <w:r>
        <w:rPr>
          <w:rtl w:val="false"/>
        </w:rPr>
        <w:t xml:space="preserve"> if a sale is agreed.</w:t>
      </w:r>
    </w:p>
    <w:p>
      <w:pPr>
        <w:pStyle w:val="Heading1"/>
        <w:bidi w:val="false"/>
      </w:pPr>
      <w:commentRangeStart w:id="5"/>
      <w:r>
        <w:rPr>
          <w:rtl w:val="false"/>
        </w:rPr>
        <w:t xml:space="preserve">8. Dissolution, language and signatures</w:t>
      </w:r>
      <w:commentRangeEnd w:id="5"/>
      <w:r>
        <w:rPr>
          <w:rtl w:val="false"/>
        </w:rPr>
        <w:commentReference w:id="5"/>
      </w:r>
    </w:p>
    <w:p>
      <w:pPr>
        <w:bidi w:val="false"/>
      </w:pPr>
      <w:r>
        <w:rPr>
          <w:rtl w:val="false"/>
        </w:rPr>
        <w:t xml:space="preserve">The company ends when its term ends, when </w:t>
      </w:r>
      <w:r>
        <w:rPr>
          <w:highlight w:val="yellow"/>
          <w:rtl w:val="false"/>
        </w:rPr>
        <w:t xml:space="preserve">[</w:t>
      </w:r>
      <w:r>
        <w:rPr>
          <w:highlight w:val="yellow"/>
          <w:rtl w:val="false"/>
        </w:rPr>
        <w:t xml:space="preserve">the owner / the shareholders</w:t>
      </w:r>
      <w:r>
        <w:rPr>
          <w:highlight w:val="yellow"/>
          <w:rtl w:val="false"/>
        </w:rPr>
        <w:t xml:space="preserve">]</w:t>
      </w:r>
      <w:r>
        <w:rPr>
          <w:rtl w:val="false"/>
        </w:rPr>
        <w:t xml:space="preserve"> agree, or for another cause the registrar accepts. </w:t>
      </w:r>
      <w:r>
        <w:rPr>
          <w:highlight w:val="yellow"/>
          <w:rtl w:val="false"/>
        </w:rPr>
        <w:t xml:space="preserve">[</w:t>
      </w:r>
      <w:r>
        <w:rPr>
          <w:highlight w:val="yellow"/>
          <w:rtl w:val="false"/>
        </w:rPr>
        <w:t xml:space="preserve">The liquidator</w:t>
      </w:r>
      <w:r>
        <w:rPr>
          <w:highlight w:val="yellow"/>
          <w:rtl w:val="false"/>
        </w:rPr>
        <w:t xml:space="preserve">]</w:t>
      </w:r>
      <w:r>
        <w:rPr>
          <w:rtl w:val="false"/>
        </w:rPr>
        <w:t xml:space="preserve"> winds it up. What remains after debts are paid is distributed in proportion to the shares. Arabic and English, with Arabic prevailing (Article 7).</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Founder / owner: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shares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Saudi Arabia notes</w:t>
      </w:r>
    </w:p>
    <w:p>
      <w:pPr>
        <w:bidi w:val="false"/>
      </w:pPr>
      <w:r>
        <w:rPr>
          <w:rtl w:val="false"/>
        </w:rPr>
        <w:t xml:space="preserve">Companies Law, Royal Decree No. M/132 dated 1/12/1443H.</w:t>
      </w:r>
      <w:r>
        <w:rPr>
          <w:rtl w:val="false"/>
        </w:rPr>
        <w:t xml:space="preserve"> [1][2]</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the text states</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Which forms have articles</w:t>
            </w:r>
          </w:p>
        </w:tc>
        <w:tc>
          <w:tcPr>
            <w:tcMar>
              <w:top w:type="dxa" w:w="80"/>
              <w:left w:type="dxa" w:w="100"/>
              <w:bottom w:type="dxa" w:w="80"/>
              <w:right w:type="dxa" w:w="100"/>
            </w:tcMar>
          </w:tcPr>
          <w:p>
            <w:pPr>
              <w:bidi w:val="false"/>
              <w:spacing w:after="0"/>
            </w:pPr>
            <w:r>
              <w:rPr>
                <w:b w:val="false"/>
                <w:sz w:val="18"/>
                <w:szCs w:val="18"/>
                <w:rtl w:val="false"/>
              </w:rPr>
              <w:t xml:space="preserve">A joint-stock company, a simplified joint-stock company and a one-person limited liability company. The others have a memorandum. Both documents are in Arabic (Article 7).</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One-person LLC</w:t>
            </w:r>
          </w:p>
        </w:tc>
        <w:tc>
          <w:tcPr>
            <w:tcMar>
              <w:top w:type="dxa" w:w="80"/>
              <w:left w:type="dxa" w:w="100"/>
              <w:bottom w:type="dxa" w:w="80"/>
              <w:right w:type="dxa" w:w="100"/>
            </w:tcMar>
          </w:tcPr>
          <w:p>
            <w:pPr>
              <w:bidi w:val="false"/>
              <w:spacing w:after="0"/>
            </w:pPr>
            <w:r>
              <w:rPr>
                <w:b w:val="false"/>
                <w:sz w:val="18"/>
                <w:szCs w:val="18"/>
                <w:rtl w:val="false"/>
              </w:rPr>
              <w:t xml:space="preserve">The owner holds the powers of the general assembly; decisions are in writing; a reference to the memorandum means the articles (Article 157).</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Filing</w:t>
            </w:r>
          </w:p>
        </w:tc>
        <w:tc>
          <w:tcPr>
            <w:tcMar>
              <w:top w:type="dxa" w:w="80"/>
              <w:left w:type="dxa" w:w="100"/>
              <w:bottom w:type="dxa" w:w="80"/>
              <w:right w:type="dxa" w:w="100"/>
            </w:tcMar>
          </w:tcPr>
          <w:p>
            <w:pPr>
              <w:bidi w:val="false"/>
              <w:spacing w:after="0"/>
            </w:pPr>
            <w:r>
              <w:rPr>
                <w:b w:val="false"/>
                <w:sz w:val="18"/>
                <w:szCs w:val="18"/>
                <w:rtl w:val="false"/>
              </w:rPr>
              <w:t xml:space="preserve">Incorporate through the Saudi Business Center and use the documents it generates. This checklist is not that form.</w:t>
            </w:r>
            <w:r>
              <w:rPr>
                <w:b w:val="false"/>
                <w:sz w:val="18"/>
                <w:szCs w:val="18"/>
                <w:rtl w:val="false"/>
              </w:rPr>
              <w:t xml:space="preserve"> [2]</w:t>
            </w:r>
          </w:p>
        </w:tc>
      </w:tr>
    </w:tbl>
    <w:p>
      <w:pPr>
        <w:bidi w:val="false"/>
      </w:pPr>
    </w:p>
    <w:p>
      <w:pPr>
        <w:pStyle w:val="Heading1"/>
        <w:pageBreakBefore/>
        <w:bidi w:val="false"/>
      </w:pPr>
      <w:r>
        <w:rPr>
          <w:rtl w:val="false"/>
        </w:rPr>
        <w:t xml:space="preserve">UAE notes</w:t>
      </w:r>
    </w:p>
    <w:p>
      <w:pPr>
        <w:bidi w:val="false"/>
      </w:pPr>
      <w:r>
        <w:rPr>
          <w:rtl w:val="false"/>
        </w:rPr>
        <w:t xml:space="preserve">Which document each form needs is under review.</w:t>
      </w:r>
      <w:r>
        <w:rPr>
          <w:rtl w:val="false"/>
        </w:rPr>
        <w:t xml:space="preserve"> [3][4][5]</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statute</w:t>
            </w:r>
          </w:p>
        </w:tc>
        <w:tc>
          <w:tcPr>
            <w:tcMar>
              <w:top w:type="dxa" w:w="80"/>
              <w:left w:type="dxa" w:w="100"/>
              <w:bottom w:type="dxa" w:w="80"/>
              <w:right w:type="dxa" w:w="100"/>
            </w:tcMar>
          </w:tcPr>
          <w:p>
            <w:pPr>
              <w:bidi w:val="false"/>
              <w:spacing w:after="0"/>
            </w:pPr>
            <w:r>
              <w:rPr>
                <w:b w:val="false"/>
                <w:sz w:val="18"/>
                <w:szCs w:val="18"/>
                <w:rtl w:val="false"/>
              </w:rPr>
              <w:t xml:space="preserve">The Commercial Companies Law is Federal Decree-Law No. 32 of 2021.</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Which document</w:t>
            </w:r>
          </w:p>
        </w:tc>
        <w:tc>
          <w:tcPr>
            <w:tcMar>
              <w:top w:type="dxa" w:w="80"/>
              <w:left w:type="dxa" w:w="100"/>
              <w:bottom w:type="dxa" w:w="80"/>
              <w:right w:type="dxa" w:w="100"/>
            </w:tcMar>
          </w:tcPr>
          <w:p>
            <w:pPr>
              <w:bidi w:val="false"/>
              <w:spacing w:after="0"/>
            </w:pPr>
            <w:r>
              <w:rPr>
                <w:b w:val="false"/>
                <w:sz w:val="18"/>
                <w:szCs w:val="18"/>
                <w:rtl w:val="false"/>
              </w:rPr>
              <w:t xml:space="preserve">Under review. No article number is stated for the memorandum-versus-articles split.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binding document</w:t>
            </w:r>
          </w:p>
        </w:tc>
        <w:tc>
          <w:tcPr>
            <w:tcMar>
              <w:top w:type="dxa" w:w="80"/>
              <w:left w:type="dxa" w:w="100"/>
              <w:bottom w:type="dxa" w:w="80"/>
              <w:right w:type="dxa" w:w="100"/>
            </w:tcMar>
          </w:tcPr>
          <w:p>
            <w:pPr>
              <w:bidi w:val="false"/>
              <w:spacing w:after="0"/>
            </w:pPr>
            <w:r>
              <w:rPr>
                <w:b w:val="false"/>
                <w:sz w:val="18"/>
                <w:szCs w:val="18"/>
                <w:rtl w:val="false"/>
              </w:rPr>
              <w:t xml:space="preserve">The form of the authority that registers the company, not this checklist.</w:t>
            </w:r>
          </w:p>
        </w:tc>
      </w:tr>
    </w:tbl>
    <w:p>
      <w:pPr>
        <w:bidi w:val="false"/>
      </w:pPr>
    </w:p>
    <w:p>
      <w:pPr>
        <w:pStyle w:val="Heading1"/>
        <w:pageBreakBefore/>
        <w:bidi w:val="false"/>
      </w:pPr>
      <w:r>
        <w:rPr>
          <w:rtl w:val="false"/>
        </w:rPr>
        <w:t xml:space="preserve">Annex 1 – Capital and shares</w:t>
      </w:r>
    </w:p>
    <w:p>
      <w:pPr>
        <w:bidi w:val="false"/>
      </w:pPr>
      <w:r>
        <w:rPr>
          <w:rtl w:val="false"/>
        </w:rPr>
        <w:t xml:space="preserve">The percentages should add up to 100. Value any in-kind contribution in writing.</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Founder / owner</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Cash</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In kind</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Shares</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Percentage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Founder / owner 1</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describe the asset and its value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number of shares</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Founder 2, if any</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Total</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rtl w:val="false"/>
              </w:rPr>
              <w:t xml:space="preserve">100%</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06nvuotkzufqsgwbts3ud">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https://www.qanu.ai/en/templates/articles-of-association · Last reviewed: 29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Companies Law, Royal Decree No. M/132 dated 1/12/1443H (30 June 2022) </w:t>
      </w:r>
      <w:hyperlink w:history="1" r:id="rIdmxasqfnncjm2-bgtkmj1y">
        <w:r>
          <w:rPr>
            <w:rStyle w:val="Hyperlink"/>
            <w:sz w:val="16"/>
            <w:szCs w:val="16"/>
          </w:rPr>
          <w:t xml:space="preserve">https://laws.boe.gov.sa/BoeLaws/Laws/LawDetails/a8376aea-1bc3-49d4-9027-aed900b555af/1</w:t>
        </w:r>
      </w:hyperlink>
    </w:p>
    <w:p>
      <w:pPr>
        <w:bidi w:val="false"/>
        <w:ind w:start="360" w:hanging="360"/>
      </w:pPr>
      <w:r>
        <w:rPr>
          <w:sz w:val="18"/>
          <w:szCs w:val="18"/>
          <w:rtl w:val="false"/>
        </w:rPr>
        <w:t xml:space="preserve">[2] Saudi Business Center, incorporation platform (geo-restricted outside KSA) </w:t>
      </w:r>
      <w:hyperlink w:history="1" r:id="rIdtddcqkejl7_y9geaq4wi0">
        <w:r>
          <w:rPr>
            <w:rStyle w:val="Hyperlink"/>
            <w:sz w:val="16"/>
            <w:szCs w:val="16"/>
          </w:rPr>
          <w:t xml:space="preserve">https://business.sa/</w:t>
        </w:r>
      </w:hyperlink>
    </w:p>
    <w:p>
      <w:pPr>
        <w:bidi w:val="false"/>
        <w:ind w:start="360" w:hanging="360"/>
      </w:pPr>
      <w:r>
        <w:rPr>
          <w:sz w:val="18"/>
          <w:szCs w:val="18"/>
          <w:rtl w:val="false"/>
        </w:rPr>
        <w:t xml:space="preserve">[3] UAE Government portal (u.ae), Commercial Companies Law (Federal Decree-Law No. 32 of 2021) </w:t>
      </w:r>
      <w:hyperlink w:history="1" r:id="rIdy7_lyvblj03jwhp1loc4n">
        <w:r>
          <w:rPr>
            <w:rStyle w:val="Hyperlink"/>
            <w:sz w:val="16"/>
            <w:szCs w:val="16"/>
          </w:rPr>
          <w:t xml:space="preserve">https://u.ae/en/information-and-services/business/Doing-business/doing-business-on-the-mainland/full-foreign-ownership-of-commercial-companies</w:t>
        </w:r>
      </w:hyperlink>
    </w:p>
    <w:p>
      <w:pPr>
        <w:bidi w:val="false"/>
        <w:ind w:start="360" w:hanging="360"/>
      </w:pPr>
      <w:r>
        <w:rPr>
          <w:sz w:val="18"/>
          <w:szCs w:val="18"/>
          <w:rtl w:val="false"/>
        </w:rPr>
        <w:t xml:space="preserve">[4] UAE Government portal (u.ae), Where to find the UAE's federal laws </w:t>
      </w:r>
      <w:hyperlink w:history="1" r:id="rIdyd8kndc-b09qita-1evhf">
        <w:r>
          <w:rPr>
            <w:rStyle w:val="Hyperlink"/>
            <w:sz w:val="16"/>
            <w:szCs w:val="16"/>
          </w:rPr>
          <w:t xml:space="preserve">https://u.ae/en/information-and-services/justice-safety-and-the-law/Law/how-are-uae-laws-issued-and-how-to-find-them/where-to-find-uae-federal-laws</w:t>
        </w:r>
      </w:hyperlink>
    </w:p>
    <w:p>
      <w:pPr>
        <w:bidi w:val="false"/>
        <w:ind w:start="360" w:hanging="360"/>
      </w:pPr>
      <w:r>
        <w:rPr>
          <w:sz w:val="18"/>
          <w:szCs w:val="18"/>
          <w:rtl w:val="false"/>
        </w:rPr>
        <w:t xml:space="preserve">[5] UAE Legislation, Federal Decree-Law No. 32 of 2021 on Commercial Companies, official text (PDF), Article 268: a holding company is a joint-stock company or a limited liability company that sets up subsidiaries inside the State and abroad, or controls existing companies by owning stakes or shares that let it control their management and influence their decisions </w:t>
      </w:r>
      <w:hyperlink w:history="1" r:id="rIdskxoesrt9qz35ne6ogo44">
        <w:r>
          <w:rPr>
            <w:rStyle w:val="Hyperlink"/>
            <w:sz w:val="16"/>
            <w:szCs w:val="16"/>
          </w:rPr>
          <w:t xml:space="preserve">https://uaelegislation.gov.ae/ar/legislations/1542/download</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val="false"/>
      </w:pPr>
      <w:r>
        <w:rPr>
          <w:b/>
          <w:bCs/>
          <w:rtl w:val="false"/>
        </w:rPr>
        <w:t xml:space="preserve">Drafting note</w:t>
      </w:r>
    </w:p>
    <w:p>
      <w:pPr>
        <w:bidi w:val="false"/>
      </w:pPr>
      <w:r>
        <w:rPr>
          <w:rtl w:val="false"/>
        </w:rPr>
        <w:t xml:space="preserve">A multi-partner LLC uses a </w:t>
      </w:r>
      <w:hyperlink w:history="1" r:id="rId92hadtgusigzopeth_ryu">
        <w:r>
          <w:rPr>
            <w:rStyle w:val="Hyperlink"/>
            <w:rtl w:val="false"/>
          </w:rPr>
          <w:t xml:space="preserve">memorandum of association</w:t>
        </w:r>
      </w:hyperlink>
      <w:r>
        <w:rPr>
          <w:rtl w:val="false"/>
        </w:rPr>
        <w:t xml:space="preserve">, not these articles.</w:t>
      </w:r>
      <w:r>
        <w:rPr>
          <w:rtl w:val="false"/>
        </w:rPr>
        <w:t xml:space="preserve"> [1]</w:t>
      </w:r>
    </w:p>
  </w:comment>
  <w:comment w:id="1" w:initials="Q" w:author="Qanu" w:date="2026-10-29T00:00:00.000Z">
    <w:p>
      <w:pPr>
        <w:bidi w:val="false"/>
      </w:pPr>
      <w:r>
        <w:rPr>
          <w:b/>
          <w:bCs/>
          <w:rtl w:val="false"/>
        </w:rPr>
        <w:t xml:space="preserve">Drafting note</w:t>
      </w:r>
    </w:p>
    <w:p>
      <w:pPr>
        <w:bidi w:val="false"/>
      </w:pPr>
      <w:r>
        <w:rPr>
          <w:rtl w:val="false"/>
        </w:rPr>
        <w:t xml:space="preserve">This checklist grants no licence.</w:t>
      </w:r>
    </w:p>
  </w:comment>
  <w:comment w:id="2" w:initials="Q" w:author="Qanu" w:date="2026-10-29T00:00:00.000Z">
    <w:p>
      <w:pPr>
        <w:bidi w:val="false"/>
      </w:pPr>
      <w:r>
        <w:rPr>
          <w:b/>
          <w:bCs/>
          <w:rtl w:val="false"/>
        </w:rPr>
        <w:t xml:space="preserve">Drafting note</w:t>
      </w:r>
    </w:p>
    <w:p>
      <w:pPr>
        <w:bidi w:val="false"/>
      </w:pPr>
      <w:r>
        <w:rPr>
          <w:rtl w:val="false"/>
        </w:rPr>
        <w:t xml:space="preserve">This page states no minimum capital. Check the incorporation platform.</w:t>
      </w:r>
    </w:p>
  </w:comment>
  <w:comment w:id="3" w:initials="Q" w:author="Qanu" w:date="2026-10-29T00:00:00.000Z">
    <w:p>
      <w:pPr>
        <w:bidi w:val="false"/>
      </w:pPr>
      <w:r>
        <w:rPr>
          <w:b/>
          <w:bCs/>
          <w:rtl w:val="false"/>
        </w:rPr>
        <w:t xml:space="preserve">Drafting note</w:t>
      </w:r>
    </w:p>
    <w:p>
      <w:pPr>
        <w:bidi w:val="false"/>
      </w:pPr>
      <w:r>
        <w:rPr>
          <w:rtl w:val="false"/>
        </w:rPr>
        <w:t xml:space="preserve">In a one-person limited liability company the owner holds the powers of the general assembly, and decisions are in writing (Article 157).</w:t>
      </w:r>
      <w:r>
        <w:rPr>
          <w:rtl w:val="false"/>
        </w:rPr>
        <w:t xml:space="preserve"> [1]</w:t>
      </w:r>
    </w:p>
  </w:comment>
  <w:comment w:id="4" w:initials="Q" w:author="Qanu" w:date="2026-10-29T00:00:00.000Z">
    <w:p>
      <w:pPr>
        <w:bidi w:val="false"/>
      </w:pPr>
      <w:r>
        <w:rPr>
          <w:b/>
          <w:bCs/>
          <w:rtl w:val="false"/>
        </w:rPr>
        <w:t xml:space="preserve">Drafting note</w:t>
      </w:r>
    </w:p>
    <w:p>
      <w:pPr>
        <w:bidi w:val="false"/>
      </w:pPr>
      <w:r>
        <w:rPr>
          <w:rtl w:val="false"/>
        </w:rPr>
        <w:t xml:space="preserve">This template does not invent a quorum or a majority.</w:t>
      </w:r>
    </w:p>
  </w:comment>
  <w:comment w:id="5" w:initials="Q" w:author="Qanu" w:date="2026-10-29T00:00:00.000Z">
    <w:p>
      <w:pPr>
        <w:bidi w:val="false"/>
      </w:pPr>
      <w:r>
        <w:rPr>
          <w:b/>
          <w:bCs/>
          <w:rtl w:val="false"/>
        </w:rPr>
        <w:t xml:space="preserve">Drafting note</w:t>
      </w:r>
    </w:p>
    <w:p>
      <w:pPr>
        <w:bidi w:val="false"/>
      </w:pPr>
      <w:r>
        <w:rPr>
          <w:rtl w:val="false"/>
        </w:rPr>
        <w:t xml:space="preserve">Signing this checklist does not register the company. Registration is what happens at the Saudi Business Center or at the registrar in the other country.</w:t>
      </w:r>
      <w:r>
        <w:rPr>
          <w:rtl w:val="false"/>
        </w:rPr>
        <w:t xml:space="preserve"> [2]</w:t>
      </w:r>
      <w:r>
        <w:rPr>
          <w:rtl w:val="false"/>
        </w:rPr>
        <w:t xml:space="preserve"> See </w:t>
      </w:r>
      <w:hyperlink w:history="1" r:id="rIdyjqbkxwf1piw9rqbb5kna">
        <w:r>
          <w:rPr>
            <w:rStyle w:val="Hyperlink"/>
            <w:rtl w:val="false"/>
          </w:rPr>
          <w:t xml:space="preserve">articles of association</w:t>
        </w:r>
      </w:hyperlink>
      <w:r>
        <w:rPr>
          <w:rtl w:val="false"/>
        </w:rPr>
        <w:t xml:space="preserve"> and </w:t>
      </w:r>
      <w:hyperlink w:history="1" r:id="rIdbaartfnlce7ats7bjmsqk">
        <w:r>
          <w:rPr>
            <w:rStyle w:val="Hyperlink"/>
            <w:rtl w:val="false"/>
          </w:rPr>
          <w:t xml:space="preserve">commercial registration</w:t>
        </w:r>
      </w:hyperlink>
      <w:r>
        <w:rPr>
          <w:rtl w:val="false"/>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29 October 2026 – https://www.qanu.ai/en/templates/articles-of-association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29 October 2026 – https://www.qanu.ai/en/templates/articles-of-association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92hadtgusigzopeth_ryu" Type="http://schemas.openxmlformats.org/officeDocument/2006/relationships/hyperlink" Target="https://www.qanu.ai/en/templates/memorandum-of-association" TargetMode="External"/><Relationship Id="rIdyjqbkxwf1piw9rqbb5kna" Type="http://schemas.openxmlformats.org/officeDocument/2006/relationships/hyperlink" Target="https://www.qanu.ai/en/glossary/articles-of-association" TargetMode="External"/><Relationship Id="rIdbaartfnlce7ats7bjmsqk" Type="http://schemas.openxmlformats.org/officeDocument/2006/relationships/hyperlink" Target="https://www.qanu.ai/en/glossary/commercial-registration"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nxix8l9zy-yljj5av9q_f" Type="http://schemas.openxmlformats.org/officeDocument/2006/relationships/hyperlink" Target="https://laws.boe.gov.sa/BoeLaws/Laws/LawDetails/a8376aea-1bc3-49d4-9027-aed900b555af/1" TargetMode="External"/><Relationship Id="rIdc4ky0bkpvgn-oqz2peydh" Type="http://schemas.openxmlformats.org/officeDocument/2006/relationships/hyperlink" Target="https://business.sa/" TargetMode="External"/><Relationship Id="rId4w1vsilzy_ewk-n3l8zcd" Type="http://schemas.openxmlformats.org/officeDocument/2006/relationships/hyperlink" Target="https://u.ae/en/information-and-services/business/Doing-business/doing-business-on-the-mainland/full-foreign-ownership-of-commercial-companies" TargetMode="External"/><Relationship Id="rIdejkyw8ytus2orcxmuyjix" Type="http://schemas.openxmlformats.org/officeDocument/2006/relationships/hyperlink" Target="https://www.qanu.ai/en/templates/share-transfer-agreement" TargetMode="External"/><Relationship Id="rId06nvuotkzufqsgwbts3ud" Type="http://schemas.openxmlformats.org/officeDocument/2006/relationships/hyperlink" Target="https://creativecommons.org/licenses/by/4.0/deed.en" TargetMode="External"/><Relationship Id="rIdmxasqfnncjm2-bgtkmj1y" Type="http://schemas.openxmlformats.org/officeDocument/2006/relationships/hyperlink" Target="https://laws.boe.gov.sa/BoeLaws/Laws/LawDetails/a8376aea-1bc3-49d4-9027-aed900b555af/1" TargetMode="External"/><Relationship Id="rIdtddcqkejl7_y9geaq4wi0" Type="http://schemas.openxmlformats.org/officeDocument/2006/relationships/hyperlink" Target="https://business.sa/" TargetMode="External"/><Relationship Id="rIdy7_lyvblj03jwhp1loc4n" Type="http://schemas.openxmlformats.org/officeDocument/2006/relationships/hyperlink" Target="https://u.ae/en/information-and-services/business/Doing-business/doing-business-on-the-mainland/full-foreign-ownership-of-commercial-companies" TargetMode="External"/><Relationship Id="rIdyd8kndc-b09qita-1evhf" Type="http://schemas.openxmlformats.org/officeDocument/2006/relationships/hyperlink" Target="https://u.ae/en/information-and-services/justice-safety-and-the-law/Law/how-are-uae-laws-issued-and-how-to-find-them/where-to-find-uae-federal-laws" TargetMode="External"/><Relationship Id="rIdskxoesrt9qz35ne6ogo44" Type="http://schemas.openxmlformats.org/officeDocument/2006/relationships/hyperlink" Target="https://uaelegislation.gov.ae/ar/legislations/1542/download"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Articles of association (Word &amp; PDF)</dc:title>
  <dc:creator>Qanu</dc:creator>
  <cp:keywords>Articles of association, نظام أساس, النظام الأساسي, Companies Law</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dc:description>
  <cp:lastModifiedBy>Qanu</cp:lastModifiedBy>
  <cp:revision>1</cp:revision>
  <dcterms:created xsi:type="dcterms:W3CDTF">2026-10-29T11:28:02.503Z</dcterms:created>
  <dcterms:modified xsi:type="dcterms:W3CDTF">2026-10-29T11:28:02.503Z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https://www.qanu.ai/en/templates/articles-of-association</vt:lpwstr>
  </property>
</Properties>
</file>