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إذا طلبت الجهة وكالة موثّقة فهذا الخطاب لا يغني عنها.</w:t>
      </w:r>
      <w:r>
        <w:rPr>
          <w:rtl/>
        </w:rPr>
        <w:t xml:space="preserve"> في السعودية الوكالة عقد يقيم الوكيل مقام الموكِّل، ولا يسمّي النظام عقداً مستقلاً باسم التفويض.</w:t>
      </w:r>
      <w:r>
        <w:rPr>
          <w:rtl/>
        </w:rPr>
        <w:t xml:space="preserve"> [1]</w:t>
      </w:r>
      <w:r>
        <w:rPr>
          <w:rtl/>
        </w:rPr>
        <w:t xml:space="preserve"> وفي عُمان يُعدّ الإذن والأمر وكالة إذا دلّ السياق.</w:t>
      </w:r>
      <w:r>
        <w:rPr>
          <w:rtl/>
        </w:rPr>
        <w:t xml:space="preserve"> [2]</w:t>
      </w:r>
      <w:r>
        <w:rPr>
          <w:rtl/>
        </w:rPr>
        <w:t xml:space="preserve"> وفي الإمارات تكون الوكالة عامة أو خاصة أو معلقة على شرط أو مضافة إلى أجل، بموجب المرسوم بقانون الاتحادي رقم (25) لسنة 2025 النافذ من 1 يونيو 2026.</w:t>
      </w:r>
      <w:r>
        <w:rPr>
          <w:rtl/>
        </w:rPr>
        <w:t xml:space="preserve"> [3]</w:t>
      </w:r>
      <w:r>
        <w:rPr>
          <w:rtl/>
        </w:rPr>
        <w:t xml:space="preserve"> والبنوك وشركات الاتصالات والوزارات كثيراً ما تطلب نموذجها. لا تنسخوا نماذج الغير.</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efnzmi-lqfxnversxvpls">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المعاملات المدنية الإماراتي: </w:t>
      </w:r>
      <w:hyperlink w:history="1" r:id="rIdd5u8rsnrjxoneyn78melf">
        <w:r>
          <w:rPr>
            <w:rStyle w:val="Hyperlink"/>
            <w:sz w:val="17"/>
            <w:szCs w:val="17"/>
          </w:rPr>
          <w:t xml:space="preserve">‪https://uaelegislation.gov.ae/en/legislations/4011‬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إصدار وكالة: </w:t>
      </w:r>
      <w:hyperlink w:history="1" r:id="rIdnk0fcjbhekyhnxp9brxhh">
        <w:r>
          <w:rPr>
            <w:rStyle w:val="Hyperlink"/>
            <w:sz w:val="17"/>
            <w:szCs w:val="17"/>
          </w:rPr>
          <w:t xml:space="preserve">‪https://www.moj.gov.sa/ar/eServices/pages/3472d517-7cb4-4cd5-a6bc-2abc9751eea3.aspx‬</w:t>
        </w:r>
      </w:hyperlink>
    </w:p>
    <w:p>
      <w:pPr>
        <w:bidi/>
        <w:spacing w:after="240"/>
      </w:pPr>
    </w:p>
    <w:p>
      <w:pPr>
        <w:pStyle w:val="Title"/>
        <w:bidi/>
      </w:pPr>
      <w:r>
        <w:rPr>
          <w:rtl/>
        </w:rPr>
        <w:t xml:space="preserve">تفويض</w:t>
      </w:r>
    </w:p>
    <w:p>
      <w:pPr>
        <w:bidi/>
        <w:spacing w:after="240"/>
      </w:pPr>
      <w:r>
        <w:rPr>
          <w:color w:val="444444"/>
          <w:rtl/>
        </w:rPr>
        <w:t xml:space="preserve">خطاب تفويض من شركة إلى شخص لتمثيلها، أو من شخص إلى شخص، أو لاستلام مبلغ أو مستند، في دول الخليج.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الصيغة التي لا تنطبق. هذا الخطاب ليس وكالة صادرة من ناجز ولا محرراً موثقاً لدى كاتب العدل. هذه نقطة انطلاق، وتُراجع من محامٍ مرخّص في الدولة المعنية قبل الاستعمال.</w:t>
      </w:r>
    </w:p>
    <w:p>
      <w:pPr>
        <w:pStyle w:val="Heading1"/>
        <w:bidi/>
      </w:pPr>
      <w:commentRangeStart w:id="0"/>
      <w:r>
        <w:rPr>
          <w:rtl/>
        </w:rPr>
        <w:t xml:space="preserve">البند (1): المفوِّض</w:t>
      </w:r>
      <w:commentRangeEnd w:id="0"/>
      <w:r>
        <w:rPr>
          <w:rtl/>
        </w:rPr>
        <w:commentReference w:id="0"/>
      </w:r>
    </w:p>
    <w:p>
      <w:pPr>
        <w:bidi/>
      </w:pPr>
      <w:r>
        <w:rPr>
          <w:rtl/>
        </w:rPr>
        <w:t xml:space="preserve">أنا </w:t>
      </w:r>
      <w:r>
        <w:rPr>
          <w:highlight w:val="yellow"/>
          <w:rtl/>
        </w:rPr>
        <w:t xml:space="preserve">[</w:t>
      </w:r>
      <w:r>
        <w:rPr>
          <w:highlight w:val="yellow"/>
          <w:rtl/>
        </w:rPr>
        <w:t xml:space="preserve">الاسم</w:t>
      </w:r>
      <w:r>
        <w:rPr>
          <w:highlight w:val="yellow"/>
          <w:rtl/>
        </w:rPr>
        <w:t xml:space="preserve">]</w:t>
      </w:r>
      <w:r>
        <w:rPr>
          <w:rtl/>
        </w:rPr>
        <w:t xml:space="preserve">، </w:t>
      </w:r>
      <w:r>
        <w:rPr>
          <w:highlight w:val="yellow"/>
          <w:rtl/>
        </w:rPr>
        <w:t xml:space="preserve">[</w:t>
      </w:r>
      <w:r>
        <w:rPr>
          <w:highlight w:val="yellow"/>
          <w:rtl/>
        </w:rPr>
        <w:t xml:space="preserve">سجل تجاري رقم ● / هوية رقم ●</w:t>
      </w:r>
      <w:r>
        <w:rPr>
          <w:highlight w:val="yellow"/>
          <w:rtl/>
        </w:rPr>
        <w:t xml:space="preserve">]</w:t>
      </w:r>
      <w:r>
        <w:rPr>
          <w:rtl/>
        </w:rPr>
        <w:t xml:space="preserve">، وعنواني </w:t>
      </w:r>
      <w:r>
        <w:rPr>
          <w:highlight w:val="yellow"/>
          <w:rtl/>
        </w:rPr>
        <w:t xml:space="preserve">[</w:t>
      </w:r>
      <w:r>
        <w:rPr>
          <w:highlight w:val="yellow"/>
          <w:rtl/>
        </w:rPr>
        <w:t xml:space="preserve">●</w:t>
      </w:r>
      <w:r>
        <w:rPr>
          <w:highlight w:val="yellow"/>
          <w:rtl/>
        </w:rPr>
        <w:t xml:space="preserve">]</w:t>
      </w:r>
      <w:r>
        <w:rPr>
          <w:rtl/>
        </w:rPr>
        <w:t xml:space="preserve"> («المفوِّض»). والصفة: </w:t>
      </w:r>
      <w:r>
        <w:rPr>
          <w:highlight w:val="yellow"/>
          <w:rtl/>
        </w:rPr>
        <w:t xml:space="preserve">[</w:t>
      </w:r>
      <w:r>
        <w:rPr>
          <w:highlight w:val="yellow"/>
          <w:rtl/>
        </w:rPr>
        <w:t xml:space="preserve">مفوض بالتوقيع / مدير / أصالة</w:t>
      </w:r>
      <w:r>
        <w:rPr>
          <w:highlight w:val="yellow"/>
          <w:rtl/>
        </w:rPr>
        <w:t xml:space="preserve">]</w:t>
      </w:r>
      <w:r>
        <w:rPr>
          <w:rtl/>
        </w:rPr>
        <w:t xml:space="preserve">.</w:t>
      </w:r>
    </w:p>
    <w:p>
      <w:pPr>
        <w:pStyle w:val="Heading1"/>
        <w:bidi/>
      </w:pPr>
      <w:commentRangeStart w:id="1"/>
      <w:r>
        <w:rPr>
          <w:rtl/>
        </w:rPr>
        <w:t xml:space="preserve">البند (2): المفوَّض إليه</w:t>
      </w:r>
      <w:commentRangeEnd w:id="1"/>
      <w:r>
        <w:rPr>
          <w:rtl/>
        </w:rPr>
        <w:commentReference w:id="1"/>
      </w:r>
    </w:p>
    <w:p>
      <w:pPr>
        <w:bidi/>
      </w:pPr>
      <w:r>
        <w:rPr>
          <w:rtl/>
        </w:rPr>
        <w:t xml:space="preserve">أفوّض </w:t>
      </w:r>
      <w:r>
        <w:rPr>
          <w:highlight w:val="yellow"/>
          <w:rtl/>
        </w:rPr>
        <w:t xml:space="preserve">[</w:t>
      </w:r>
      <w:r>
        <w:rPr>
          <w:highlight w:val="yellow"/>
          <w:rtl/>
        </w:rPr>
        <w:t xml:space="preserve">الاسم</w:t>
      </w:r>
      <w:r>
        <w:rPr>
          <w:highlight w:val="yellow"/>
          <w:rtl/>
        </w:rPr>
        <w:t xml:space="preserve">]</w:t>
      </w:r>
      <w:r>
        <w:rPr>
          <w:rtl/>
        </w:rPr>
        <w:t xml:space="preserve">، هوية رقم </w:t>
      </w:r>
      <w:r>
        <w:rPr>
          <w:highlight w:val="yellow"/>
          <w:rtl/>
        </w:rPr>
        <w:t xml:space="preserve">[</w:t>
      </w:r>
      <w:r>
        <w:rPr>
          <w:highlight w:val="yellow"/>
          <w:rtl/>
        </w:rPr>
        <w:t xml:space="preserve">●</w:t>
      </w:r>
      <w:r>
        <w:rPr>
          <w:highlight w:val="yellow"/>
          <w:rtl/>
        </w:rPr>
        <w:t xml:space="preserve">]</w:t>
      </w:r>
      <w:r>
        <w:rPr>
          <w:rtl/>
        </w:rPr>
        <w:t xml:space="preserve">، جنسية </w:t>
      </w:r>
      <w:r>
        <w:rPr>
          <w:highlight w:val="yellow"/>
          <w:rtl/>
        </w:rPr>
        <w:t xml:space="preserve">[</w:t>
      </w:r>
      <w:r>
        <w:rPr>
          <w:highlight w:val="yellow"/>
          <w:rtl/>
        </w:rPr>
        <w:t xml:space="preserve">●</w:t>
      </w:r>
      <w:r>
        <w:rPr>
          <w:highlight w:val="yellow"/>
          <w:rtl/>
        </w:rPr>
        <w:t xml:space="preserve">]</w:t>
      </w:r>
      <w:r>
        <w:rPr>
          <w:rtl/>
        </w:rPr>
        <w:t xml:space="preserve">، جوال </w:t>
      </w:r>
      <w:r>
        <w:rPr>
          <w:highlight w:val="yellow"/>
          <w:rtl/>
        </w:rPr>
        <w:t xml:space="preserve">[</w:t>
      </w:r>
      <w:r>
        <w:rPr>
          <w:highlight w:val="yellow"/>
          <w:rtl/>
        </w:rPr>
        <w:t xml:space="preserve">●</w:t>
      </w:r>
      <w:r>
        <w:rPr>
          <w:highlight w:val="yellow"/>
          <w:rtl/>
        </w:rPr>
        <w:t xml:space="preserve">]</w:t>
      </w:r>
      <w:r>
        <w:rPr>
          <w:rtl/>
        </w:rPr>
        <w:t xml:space="preserve"> («المفوَّض إليه») بما يلي، في حدود المدة والنطاق المكتوبين، لا بما يجاوزهما.</w:t>
      </w:r>
    </w:p>
    <w:p>
      <w:pPr>
        <w:pStyle w:val="Heading1"/>
        <w:bidi/>
      </w:pPr>
      <w:commentRangeStart w:id="2"/>
      <w:r>
        <w:rPr>
          <w:rtl/>
        </w:rPr>
        <w:t xml:space="preserve">البند (3): من شركة إلى شخص، لتمثيل الشركة</w:t>
      </w:r>
      <w:commentRangeEnd w:id="2"/>
      <w:r>
        <w:rPr>
          <w:rtl/>
        </w:rPr>
        <w:commentReference w:id="2"/>
      </w:r>
    </w:p>
    <w:p>
      <w:pPr>
        <w:bidi/>
      </w:pPr>
      <w:r>
        <w:rPr>
          <w:rtl/>
        </w:rPr>
        <w:t xml:space="preserve">احذفوا هذا البند إن لم يكن المفوِّض شركة. تفوّض الشركةُ المفوَّضَ إليه بتمثيلها أمام </w:t>
      </w:r>
      <w:r>
        <w:rPr>
          <w:highlight w:val="yellow"/>
          <w:rtl/>
        </w:rPr>
        <w:t xml:space="preserve">[</w:t>
      </w:r>
      <w:r>
        <w:rPr>
          <w:highlight w:val="yellow"/>
          <w:rtl/>
        </w:rPr>
        <w:t xml:space="preserve">الجهة الحكومية / البنك / سجل المحكمة</w:t>
      </w:r>
      <w:r>
        <w:rPr>
          <w:highlight w:val="yellow"/>
          <w:rtl/>
        </w:rPr>
        <w:t xml:space="preserve">]</w:t>
      </w:r>
      <w:r>
        <w:rPr>
          <w:rtl/>
        </w:rPr>
        <w:t xml:space="preserve">: </w:t>
      </w:r>
      <w:r>
        <w:rPr>
          <w:highlight w:val="yellow"/>
          <w:rtl/>
        </w:rPr>
        <w:t xml:space="preserve">[</w:t>
      </w:r>
      <w:r>
        <w:rPr>
          <w:highlight w:val="yellow"/>
          <w:rtl/>
        </w:rPr>
        <w:t xml:space="preserve">اسم الجهة</w:t>
      </w:r>
      <w:r>
        <w:rPr>
          <w:highlight w:val="yellow"/>
          <w:rtl/>
        </w:rPr>
        <w:t xml:space="preserve">]</w:t>
      </w:r>
      <w:r>
        <w:rPr>
          <w:rtl/>
        </w:rPr>
        <w:t xml:space="preserve">، في شأن </w:t>
      </w:r>
      <w:r>
        <w:rPr>
          <w:highlight w:val="yellow"/>
          <w:rtl/>
        </w:rPr>
        <w:t xml:space="preserve">[</w:t>
      </w:r>
      <w:r>
        <w:rPr>
          <w:highlight w:val="yellow"/>
          <w:rtl/>
        </w:rPr>
        <w:t xml:space="preserve">●</w:t>
      </w:r>
      <w:r>
        <w:rPr>
          <w:highlight w:val="yellow"/>
          <w:rtl/>
        </w:rPr>
        <w:t xml:space="preserve">]</w:t>
      </w:r>
      <w:r>
        <w:rPr>
          <w:rtl/>
        </w:rPr>
        <w:t xml:space="preserve"> فقط. ويشمل ذلك تقديم المستندات واستلام الإشعارات والتوقيع على </w:t>
      </w:r>
      <w:r>
        <w:rPr>
          <w:highlight w:val="yellow"/>
          <w:rtl/>
        </w:rPr>
        <w:t xml:space="preserve">[</w:t>
      </w:r>
      <w:r>
        <w:rPr>
          <w:highlight w:val="yellow"/>
          <w:rtl/>
        </w:rPr>
        <w:t xml:space="preserve">●</w:t>
      </w:r>
      <w:r>
        <w:rPr>
          <w:highlight w:val="yellow"/>
          <w:rtl/>
        </w:rPr>
        <w:t xml:space="preserve">]</w:t>
      </w:r>
      <w:r>
        <w:rPr>
          <w:rtl/>
        </w:rPr>
        <w:t xml:space="preserve">. ولا يشمل التنازل عن حق ولا الإقرار بحق ولا الصلح ولا التحكيم إلا إذا كُتب ذلك صراحة في هذا البند: </w:t>
      </w:r>
      <w:r>
        <w:rPr>
          <w:highlight w:val="yellow"/>
          <w:rtl/>
        </w:rPr>
        <w:t xml:space="preserve">[</w:t>
      </w:r>
      <w:r>
        <w:rPr>
          <w:highlight w:val="yellow"/>
          <w:rtl/>
        </w:rPr>
        <w:t xml:space="preserve">يُحذف إن لم يُرد</w:t>
      </w:r>
      <w:r>
        <w:rPr>
          <w:highlight w:val="yellow"/>
          <w:rtl/>
        </w:rPr>
        <w:t xml:space="preserve">]</w:t>
      </w:r>
      <w:r>
        <w:rPr>
          <w:rtl/>
        </w:rPr>
        <w:t xml:space="preserve">.</w:t>
      </w:r>
    </w:p>
    <w:p>
      <w:pPr>
        <w:pStyle w:val="Heading1"/>
        <w:bidi/>
      </w:pPr>
      <w:commentRangeStart w:id="3"/>
      <w:r>
        <w:rPr>
          <w:rtl/>
        </w:rPr>
        <w:t xml:space="preserve">البند (4): من شخص إلى شخص</w:t>
      </w:r>
      <w:commentRangeEnd w:id="3"/>
      <w:r>
        <w:rPr>
          <w:rtl/>
        </w:rPr>
        <w:commentReference w:id="3"/>
      </w:r>
    </w:p>
    <w:p>
      <w:pPr>
        <w:bidi/>
      </w:pPr>
      <w:r>
        <w:rPr>
          <w:rtl/>
        </w:rPr>
        <w:t xml:space="preserve">احذفوا هذا البند إن كان المفوِّض شركة. أفوّض المفوَّض إليه، بصفتي الشخصية، في </w:t>
      </w:r>
      <w:r>
        <w:rPr>
          <w:highlight w:val="yellow"/>
          <w:rtl/>
        </w:rPr>
        <w:t xml:space="preserve">[</w:t>
      </w:r>
      <w:r>
        <w:rPr>
          <w:highlight w:val="yellow"/>
          <w:rtl/>
        </w:rPr>
        <w:t xml:space="preserve">التصرف المعيّن</w:t>
      </w:r>
      <w:r>
        <w:rPr>
          <w:highlight w:val="yellow"/>
          <w:rtl/>
        </w:rPr>
        <w:t xml:space="preserve">]</w:t>
      </w:r>
      <w:r>
        <w:rPr>
          <w:rtl/>
        </w:rPr>
        <w:t xml:space="preserve"> أمام </w:t>
      </w:r>
      <w:r>
        <w:rPr>
          <w:highlight w:val="yellow"/>
          <w:rtl/>
        </w:rPr>
        <w:t xml:space="preserve">[</w:t>
      </w:r>
      <w:r>
        <w:rPr>
          <w:highlight w:val="yellow"/>
          <w:rtl/>
        </w:rPr>
        <w:t xml:space="preserve">الجهة</w:t>
      </w:r>
      <w:r>
        <w:rPr>
          <w:highlight w:val="yellow"/>
          <w:rtl/>
        </w:rPr>
        <w:t xml:space="preserve">]</w:t>
      </w:r>
      <w:r>
        <w:rPr>
          <w:rtl/>
        </w:rPr>
        <w:t xml:space="preserve">، من غير أن يتجاوز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4"/>
      <w:r>
        <w:rPr>
          <w:rtl/>
        </w:rPr>
        <w:t xml:space="preserve">البند (5): استلام</w:t>
      </w:r>
      <w:commentRangeEnd w:id="4"/>
      <w:r>
        <w:rPr>
          <w:rtl/>
        </w:rPr>
        <w:commentReference w:id="4"/>
      </w:r>
    </w:p>
    <w:p>
      <w:pPr>
        <w:bidi/>
      </w:pPr>
      <w:r>
        <w:rPr>
          <w:rtl/>
        </w:rPr>
        <w:t xml:space="preserve">احذفوا هذا البند إن لم يكن الغرض استلاماً. أفوّض المفوَّض إليه باستلام </w:t>
      </w:r>
      <w:r>
        <w:rPr>
          <w:highlight w:val="yellow"/>
          <w:rtl/>
        </w:rPr>
        <w:t xml:space="preserve">[</w:t>
      </w:r>
      <w:r>
        <w:rPr>
          <w:highlight w:val="yellow"/>
          <w:rtl/>
        </w:rPr>
        <w:t xml:space="preserve">المبلغ / الشيك / المستند / البضاعة</w:t>
      </w:r>
      <w:r>
        <w:rPr>
          <w:highlight w:val="yellow"/>
          <w:rtl/>
        </w:rPr>
        <w:t xml:space="preserve">]</w:t>
      </w:r>
      <w:r>
        <w:rPr>
          <w:rtl/>
        </w:rPr>
        <w:t xml:space="preserve"> وقدره أو وصفه </w:t>
      </w:r>
      <w:r>
        <w:rPr>
          <w:highlight w:val="yellow"/>
          <w:rtl/>
        </w:rPr>
        <w:t xml:space="preserve">[</w:t>
      </w:r>
      <w:r>
        <w:rPr>
          <w:highlight w:val="yellow"/>
          <w:rtl/>
        </w:rPr>
        <w:t xml:space="preserve">●</w:t>
      </w:r>
      <w:r>
        <w:rPr>
          <w:highlight w:val="yellow"/>
          <w:rtl/>
        </w:rPr>
        <w:t xml:space="preserve">]</w:t>
      </w:r>
      <w:r>
        <w:rPr>
          <w:rtl/>
        </w:rPr>
        <w:t xml:space="preserve">، من </w:t>
      </w:r>
      <w:r>
        <w:rPr>
          <w:highlight w:val="yellow"/>
          <w:rtl/>
        </w:rPr>
        <w:t xml:space="preserve">[</w:t>
      </w:r>
      <w:r>
        <w:rPr>
          <w:highlight w:val="yellow"/>
          <w:rtl/>
        </w:rPr>
        <w:t xml:space="preserve">الجهة المسلِّمة</w:t>
      </w:r>
      <w:r>
        <w:rPr>
          <w:highlight w:val="yellow"/>
          <w:rtl/>
        </w:rPr>
        <w:t xml:space="preserve">]</w:t>
      </w:r>
      <w:r>
        <w:rPr>
          <w:rtl/>
        </w:rPr>
        <w:t xml:space="preserve">، وتوقيع سند الاستلام. ولا يملك صرف المبلغ في غير الحساب </w:t>
      </w:r>
      <w:r>
        <w:rPr>
          <w:highlight w:val="yellow"/>
          <w:rtl/>
        </w:rPr>
        <w:t xml:space="preserve">[</w:t>
      </w:r>
      <w:r>
        <w:rPr>
          <w:highlight w:val="yellow"/>
          <w:rtl/>
        </w:rPr>
        <w:t xml:space="preserve">●</w:t>
      </w:r>
      <w:r>
        <w:rPr>
          <w:highlight w:val="yellow"/>
          <w:rtl/>
        </w:rPr>
        <w:t xml:space="preserve">]</w:t>
      </w:r>
      <w:r>
        <w:rPr>
          <w:rtl/>
        </w:rPr>
        <w:t xml:space="preserve"> إن حُدّد حساب.</w:t>
      </w:r>
    </w:p>
    <w:p>
      <w:pPr>
        <w:pStyle w:val="Heading1"/>
        <w:bidi/>
      </w:pPr>
      <w:commentRangeStart w:id="5"/>
      <w:r>
        <w:rPr>
          <w:rtl/>
        </w:rPr>
        <w:t xml:space="preserve">البند (6): المدة والعزل</w:t>
      </w:r>
      <w:commentRangeEnd w:id="5"/>
      <w:r>
        <w:rPr>
          <w:rtl/>
        </w:rPr>
        <w:commentReference w:id="5"/>
      </w:r>
    </w:p>
    <w:p>
      <w:pPr>
        <w:bidi/>
        <w:ind w:start="360" w:hanging="0"/>
      </w:pPr>
      <w:r>
        <w:rPr>
          <w:rtl/>
        </w:rPr>
        <w:t xml:space="preserve">(1) يبدأ هذا التفويض في </w:t>
      </w:r>
      <w:r>
        <w:rPr>
          <w:highlight w:val="yellow"/>
          <w:rtl/>
        </w:rPr>
        <w:t xml:space="preserve">[</w:t>
      </w:r>
      <w:r>
        <w:rPr>
          <w:highlight w:val="yellow"/>
          <w:rtl/>
        </w:rPr>
        <w:t xml:space="preserve">التاريخ</w:t>
      </w:r>
      <w:r>
        <w:rPr>
          <w:highlight w:val="yellow"/>
          <w:rtl/>
        </w:rPr>
        <w:t xml:space="preserve">]</w:t>
      </w:r>
      <w:r>
        <w:rPr>
          <w:rtl/>
        </w:rPr>
        <w:t xml:space="preserve"> وينتهي في </w:t>
      </w:r>
      <w:r>
        <w:rPr>
          <w:highlight w:val="yellow"/>
          <w:rtl/>
        </w:rPr>
        <w:t xml:space="preserve">[</w:t>
      </w:r>
      <w:r>
        <w:rPr>
          <w:highlight w:val="yellow"/>
          <w:rtl/>
        </w:rPr>
        <w:t xml:space="preserve">التاريخ</w:t>
      </w:r>
      <w:r>
        <w:rPr>
          <w:highlight w:val="yellow"/>
          <w:rtl/>
        </w:rPr>
        <w:t xml:space="preserve">]</w:t>
      </w:r>
      <w:r>
        <w:rPr>
          <w:rtl/>
        </w:rPr>
        <w:t xml:space="preserve">، ما لم يُعزل قبل ذلك.</w:t>
      </w:r>
    </w:p>
    <w:p>
      <w:pPr>
        <w:bidi/>
        <w:ind w:start="360" w:hanging="0"/>
      </w:pPr>
      <w:r>
        <w:rPr>
          <w:rtl/>
        </w:rPr>
        <w:t xml:space="preserve">(2) العزل بكتاب إلى المفوَّض إليه وإلى الجهة، ويُعمل به من تاريخ تبلغ الجهة لا من تاريخ الكتابة وحدها.</w:t>
      </w:r>
    </w:p>
    <w:p>
      <w:pPr>
        <w:bidi/>
        <w:ind w:start="360" w:hanging="0"/>
      </w:pPr>
      <w:r>
        <w:rPr>
          <w:rtl/>
        </w:rPr>
        <w:t xml:space="preserve">(3) انتهاء المدة أو العزل لا يمسّ تصرفاً تمّ داخل النطاق قبل تبلغ الجهة.</w:t>
      </w:r>
    </w:p>
    <w:p>
      <w:pPr>
        <w:pStyle w:val="Heading1"/>
        <w:bidi/>
      </w:pPr>
      <w:commentRangeStart w:id="6"/>
      <w:r>
        <w:rPr>
          <w:rtl/>
        </w:rPr>
        <w:t xml:space="preserve">البند (7): التوقيع والختم</w:t>
      </w:r>
      <w:commentRangeEnd w:id="6"/>
      <w:r>
        <w:rPr>
          <w:rtl/>
        </w:rPr>
        <w:commentReference w:id="6"/>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المفوِّض:</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r>
        <w:rPr>
          <w:rtl/>
        </w:rPr>
        <w:t xml:space="preserve"> · الختم </w:t>
      </w:r>
      <w:r>
        <w:rPr>
          <w:highlight w:val="yellow"/>
          <w:rtl/>
        </w:rPr>
        <w:t xml:space="preserve">[</w:t>
      </w:r>
      <w:r>
        <w:rPr>
          <w:highlight w:val="yellow"/>
          <w:rtl/>
        </w:rPr>
        <w:t xml:space="preserve">إن وُجد</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اطّلع المفوَّض إليه:</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لا عقد في النظام باسم التفويض. وإذا كُيّف الخطاب وكالة فالأحكام الآتية هي المرجع، والوكالة الصادرة من ناجز هي التي تعتمدها الجهات التي تطلبها.</w:t>
      </w:r>
      <w:r>
        <w:rPr>
          <w:rtl/>
        </w:rPr>
        <w:t xml:space="preserve"> [1][4]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ماهية الوكالة</w:t>
            </w:r>
          </w:p>
        </w:tc>
        <w:tc>
          <w:tcPr>
            <w:tcMar>
              <w:top w:type="dxa" w:w="80"/>
              <w:left w:type="dxa" w:w="100"/>
              <w:bottom w:type="dxa" w:w="80"/>
              <w:right w:type="dxa" w:w="100"/>
            </w:tcMar>
          </w:tcPr>
          <w:p>
            <w:pPr>
              <w:bidi/>
              <w:spacing w:after="0"/>
            </w:pPr>
            <w:r>
              <w:rPr>
                <w:b w:val="false"/>
                <w:sz w:val="18"/>
                <w:szCs w:val="18"/>
                <w:rtl/>
              </w:rPr>
              <w:t xml:space="preserve">الوكالة عقد يقيم الوكيل مقام الموكِّل (المادة الثمانون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الألفاظ العامة</w:t>
            </w:r>
          </w:p>
        </w:tc>
        <w:tc>
          <w:tcPr>
            <w:tcMar>
              <w:top w:type="dxa" w:w="80"/>
              <w:left w:type="dxa" w:w="100"/>
              <w:bottom w:type="dxa" w:w="80"/>
              <w:right w:type="dxa" w:w="100"/>
            </w:tcMar>
          </w:tcPr>
          <w:p>
            <w:pPr>
              <w:bidi/>
              <w:spacing w:after="0"/>
            </w:pPr>
            <w:r>
              <w:rPr>
                <w:b w:val="false"/>
                <w:sz w:val="18"/>
                <w:szCs w:val="18"/>
                <w:rtl/>
              </w:rPr>
              <w:t xml:space="preserve">الوكالة بألفاظ عامة لا تعيّن نوع التصرف لا تصح (المادة الثانية والثمانون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الوكالة الخاصة</w:t>
            </w:r>
          </w:p>
        </w:tc>
        <w:tc>
          <w:tcPr>
            <w:tcMar>
              <w:top w:type="dxa" w:w="80"/>
              <w:left w:type="dxa" w:w="100"/>
              <w:bottom w:type="dxa" w:w="80"/>
              <w:right w:type="dxa" w:w="100"/>
            </w:tcMar>
          </w:tcPr>
          <w:p>
            <w:pPr>
              <w:bidi/>
              <w:spacing w:after="0"/>
            </w:pPr>
            <w:r>
              <w:rPr>
                <w:b w:val="false"/>
                <w:sz w:val="18"/>
                <w:szCs w:val="18"/>
                <w:rtl/>
              </w:rPr>
              <w:t xml:space="preserve">تصح الوكالة الخاصة لنوع معيّن من التصرفات (المادة الثالثة والثمانون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ما يجاوز الإدارة</w:t>
            </w:r>
          </w:p>
        </w:tc>
        <w:tc>
          <w:tcPr>
            <w:tcMar>
              <w:top w:type="dxa" w:w="80"/>
              <w:left w:type="dxa" w:w="100"/>
              <w:bottom w:type="dxa" w:w="80"/>
              <w:right w:type="dxa" w:w="100"/>
            </w:tcMar>
          </w:tcPr>
          <w:p>
            <w:pPr>
              <w:bidi/>
              <w:spacing w:after="0"/>
            </w:pPr>
            <w:r>
              <w:rPr>
                <w:b w:val="false"/>
                <w:sz w:val="18"/>
                <w:szCs w:val="18"/>
                <w:rtl/>
              </w:rPr>
              <w:t xml:space="preserve">كل تصرف يجاوز الإدارة يحتاج وكالة خاصة (المادة الرابعة والثمانون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الإجازة اللاحقة</w:t>
            </w:r>
          </w:p>
        </w:tc>
        <w:tc>
          <w:tcPr>
            <w:tcMar>
              <w:top w:type="dxa" w:w="80"/>
              <w:left w:type="dxa" w:w="100"/>
              <w:bottom w:type="dxa" w:w="80"/>
              <w:right w:type="dxa" w:w="100"/>
            </w:tcMar>
          </w:tcPr>
          <w:p>
            <w:pPr>
              <w:bidi/>
              <w:spacing w:after="0"/>
            </w:pPr>
            <w:r>
              <w:rPr>
                <w:b w:val="false"/>
                <w:sz w:val="18"/>
                <w:szCs w:val="18"/>
                <w:rtl/>
              </w:rPr>
              <w:t xml:space="preserve">الإجازة اللاحقة في حكم الوكالة السابقة (المادة الخامسة والثمانون بعد الأربعمائة).</w:t>
            </w:r>
            <w:r>
              <w:rPr>
                <w:b w:val="false"/>
                <w:sz w:val="18"/>
                <w:szCs w:val="18"/>
                <w:rtl/>
              </w:rPr>
              <w:t xml:space="preserve"> [1]</w:t>
            </w:r>
          </w:p>
        </w:tc>
      </w:tr>
    </w:tbl>
    <w:p>
      <w:pPr>
        <w:bidi/>
      </w:pPr>
    </w:p>
    <w:p>
      <w:pPr>
        <w:pStyle w:val="Heading1"/>
        <w:pageBreakBefore/>
        <w:bidi/>
      </w:pPr>
      <w:r>
        <w:rPr>
          <w:rtl/>
        </w:rPr>
        <w:t xml:space="preserve">ملاحظات عن سلطنة عُمان</w:t>
      </w:r>
    </w:p>
    <w:p>
      <w:pPr>
        <w:bidi/>
      </w:pPr>
      <w:r>
        <w:rPr>
          <w:rtl/>
        </w:rPr>
        <w:t xml:space="preserve">أوضح نص يمسّ «التفويض» في هذه الصفحة هو معاملة الإذن والأمر معاملة الوكالة إذا دلّ السياق.</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الإذن والأمر</w:t>
            </w:r>
          </w:p>
        </w:tc>
        <w:tc>
          <w:tcPr>
            <w:tcMar>
              <w:top w:type="dxa" w:w="80"/>
              <w:left w:type="dxa" w:w="100"/>
              <w:bottom w:type="dxa" w:w="80"/>
              <w:right w:type="dxa" w:w="100"/>
            </w:tcMar>
          </w:tcPr>
          <w:p>
            <w:pPr>
              <w:bidi/>
              <w:spacing w:after="0"/>
            </w:pPr>
            <w:r>
              <w:rPr>
                <w:b w:val="false"/>
                <w:sz w:val="18"/>
                <w:szCs w:val="18"/>
                <w:rtl/>
              </w:rPr>
              <w:t xml:space="preserve">يُعدّ الإذن والأمر وكالة إذا دلّ السياق على ذلك (المادة 679 من قانون المعاملات المدنية الصادر بالمرسوم السلطاني رقم 29/2013).</w:t>
            </w:r>
            <w:r>
              <w:rPr>
                <w:b w:val="false"/>
                <w:sz w:val="18"/>
                <w:szCs w:val="18"/>
                <w:rtl/>
              </w:rPr>
              <w:t xml:space="preserve"> [2]</w:t>
            </w:r>
          </w:p>
        </w:tc>
      </w:tr>
    </w:tbl>
    <w:p>
      <w:pPr>
        <w:bidi/>
      </w:pPr>
    </w:p>
    <w:p>
      <w:pPr>
        <w:pStyle w:val="Heading1"/>
        <w:pageBreakBefore/>
        <w:bidi/>
      </w:pPr>
      <w:r>
        <w:rPr>
          <w:rtl/>
        </w:rPr>
        <w:t xml:space="preserve">ملاحظات عن الإمارات العربية المتحدة</w:t>
      </w:r>
    </w:p>
    <w:p>
      <w:pPr>
        <w:bidi/>
      </w:pPr>
      <w:r>
        <w:rPr>
          <w:rtl/>
        </w:rPr>
        <w:t xml:space="preserve">قانون المعاملات المدنية النافذ هو المرسوم بقانون الاتحادي رقم (25) لسنة 2025، ويُعمل به من 1 يونيو 2026.</w:t>
      </w:r>
      <w:r>
        <w:rPr>
          <w:rtl/>
        </w:rPr>
        <w:t xml:space="preserve"> [3]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صور الوكالة</w:t>
            </w:r>
          </w:p>
        </w:tc>
        <w:tc>
          <w:tcPr>
            <w:tcMar>
              <w:top w:type="dxa" w:w="80"/>
              <w:left w:type="dxa" w:w="100"/>
              <w:bottom w:type="dxa" w:w="80"/>
              <w:right w:type="dxa" w:w="100"/>
            </w:tcMar>
          </w:tcPr>
          <w:p>
            <w:pPr>
              <w:bidi/>
              <w:spacing w:after="0"/>
            </w:pPr>
            <w:r>
              <w:rPr>
                <w:b w:val="false"/>
                <w:sz w:val="18"/>
                <w:szCs w:val="18"/>
                <w:rtl/>
              </w:rPr>
              <w:t xml:space="preserve">تكون الوكالة عامة أو خاصة أو معلقة على شرط أو مضافة إلى أجل (المادة 869).</w:t>
            </w:r>
            <w:r>
              <w:rPr>
                <w:b w:val="false"/>
                <w:sz w:val="18"/>
                <w:szCs w:val="18"/>
                <w:rtl/>
              </w:rPr>
              <w:t xml:space="preserve"> [3]</w:t>
            </w:r>
          </w:p>
        </w:tc>
      </w:tr>
    </w:tbl>
    <w:p>
      <w:pPr>
        <w:bidi/>
      </w:pPr>
    </w:p>
    <w:p>
      <w:pPr>
        <w:pStyle w:val="Heading1"/>
        <w:bidi/>
      </w:pPr>
      <w:r>
        <w:rPr>
          <w:rtl/>
        </w:rPr>
        <w:t xml:space="preserve">البحرين وقطر والكويت</w:t>
      </w:r>
    </w:p>
    <w:p>
      <w:pPr>
        <w:pStyle w:val="ListParagraph"/>
        <w:numPr>
          <w:ilvl w:val="0"/>
          <w:numId w:val="2"/>
        </w:numPr>
        <w:bidi/>
      </w:pPr>
      <w:r>
        <w:rPr>
          <w:rtl/>
        </w:rPr>
        <w:t xml:space="preserve">البحرين: قيد المراجعة. لم يُتحقق من نص الوكالة أو التفويض في هذه الجولة، فلا يُذكر رقم مادة.</w:t>
      </w:r>
    </w:p>
    <w:p>
      <w:pPr>
        <w:pStyle w:val="ListParagraph"/>
        <w:numPr>
          <w:ilvl w:val="0"/>
          <w:numId w:val="2"/>
        </w:numPr>
        <w:bidi/>
      </w:pPr>
      <w:r>
        <w:rPr>
          <w:rtl/>
        </w:rPr>
        <w:t xml:space="preserve">قطر: قيد المراجعة. لا رقم مادة في هذه الصفحة.</w:t>
      </w:r>
    </w:p>
    <w:p>
      <w:pPr>
        <w:pStyle w:val="ListParagraph"/>
        <w:numPr>
          <w:ilvl w:val="0"/>
          <w:numId w:val="2"/>
        </w:numPr>
        <w:bidi/>
      </w:pPr>
      <w:r>
        <w:rPr>
          <w:rtl/>
        </w:rPr>
        <w:t xml:space="preserve">الكويت: قيد المراجعة. لا رقم مادة في هذه الصفحة.</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8sksefz_vs_qyhlvu-hf0">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‪https://www.qanu.ai/ar/نماذج/نموذج-تفويض‬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المعاملات المدنية الصادر بالمرسوم الملكي رقم (م/191) وتاريخ 29/11/1444هـ </w:t>
      </w:r>
      <w:hyperlink w:history="1" r:id="rIdngggpm4vk6jvk6qt4ujuc">
        <w:r>
          <w:rPr>
            <w:rStyle w:val="Hyperlink"/>
            <w:sz w:val="16"/>
            <w:szCs w:val="16"/>
          </w:rPr>
          <w:t xml:space="preserve">https://laws.boe.gov.sa/BoeLaws/Laws/LawDetails/655fdb42-8c96-422b-b8c4-b04f0095c94c/1</w:t>
        </w:r>
      </w:hyperlink>
    </w:p>
    <w:p>
      <w:pPr>
        <w:bidi/>
        <w:ind w:start="360" w:hanging="360"/>
      </w:pPr>
      <w:r>
        <w:rPr>
          <w:sz w:val="18"/>
          <w:szCs w:val="18"/>
          <w:rtl/>
        </w:rPr>
        <w:t xml:space="preserve">[2] قانون المعاملات المدنية، المرسوم السلطاني رقم 29/2013 (قُرئ النص في qanoon.om وهي مرآة غير حكومية؛ الإدراج الرسمي لدى وزارة العدل والشؤون القانونية) </w:t>
      </w:r>
      <w:hyperlink w:history="1" r:id="rIdikmg8os9ybgmhr9w8ariu">
        <w:r>
          <w:rPr>
            <w:rStyle w:val="Hyperlink"/>
            <w:sz w:val="16"/>
            <w:szCs w:val="16"/>
          </w:rPr>
          <w:t xml:space="preserve">https://qanoon.om/p/2013/rd2013029/</w:t>
        </w:r>
      </w:hyperlink>
    </w:p>
    <w:p>
      <w:pPr>
        <w:bidi/>
        <w:ind w:start="360" w:hanging="360"/>
      </w:pPr>
      <w:r>
        <w:rPr>
          <w:sz w:val="18"/>
          <w:szCs w:val="18"/>
          <w:rtl/>
        </w:rPr>
        <w:t xml:space="preserve">[3] تشريعات الإمارات، مرسوم بقانون اتحادي رقم (25) لسنة 2025 (قانون المعاملات المدنية) </w:t>
      </w:r>
      <w:hyperlink w:history="1" r:id="rIdv-iyzf2klzeil3zyykhss">
        <w:r>
          <w:rPr>
            <w:rStyle w:val="Hyperlink"/>
            <w:sz w:val="16"/>
            <w:szCs w:val="16"/>
          </w:rPr>
          <w:t xml:space="preserve">https://uaelegislation.gov.ae/en/legislations/4011</w:t>
        </w:r>
      </w:hyperlink>
    </w:p>
    <w:p>
      <w:pPr>
        <w:bidi/>
        <w:ind w:start="360" w:hanging="360"/>
      </w:pPr>
      <w:r>
        <w:rPr>
          <w:sz w:val="18"/>
          <w:szCs w:val="18"/>
          <w:rtl/>
        </w:rPr>
        <w:t xml:space="preserve">[4] وزارة العدل، خدمة «إصدار وكالة» الإلكترونية عبر منصة ناجز </w:t>
      </w:r>
      <w:hyperlink w:history="1" r:id="rIdlrcobsevyfcjbxagvz-up">
        <w:r>
          <w:rPr>
            <w:rStyle w:val="Hyperlink"/>
            <w:sz w:val="16"/>
            <w:szCs w:val="16"/>
          </w:rPr>
          <w:t xml:space="preserve">https://www.moj.gov.sa/ar/eServices/pages/3472d517-7cb4-4cd5-a6bc-2abc9751eea3.aspx</w:t>
        </w:r>
      </w:hyperlink>
    </w:p>
    <w:p>
      <w:pPr>
        <w:bidi/>
        <w:ind w:start="360" w:hanging="360"/>
      </w:pPr>
      <w:r>
        <w:rPr>
          <w:sz w:val="18"/>
          <w:szCs w:val="18"/>
          <w:rtl/>
        </w:rPr>
        <w:t xml:space="preserve">[5] منصة ناجز، بوابة الخدمات الإلكترونية لوزارة العدل </w:t>
      </w:r>
      <w:hyperlink w:history="1" r:id="rIdgpbwmgwgxuwqne8spno1_">
        <w:r>
          <w:rPr>
            <w:rStyle w:val="Hyperlink"/>
            <w:sz w:val="16"/>
            <w:szCs w:val="16"/>
          </w:rPr>
          <w:t xml:space="preserve">https://najiz.sa/applications/landing</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اكتبوا الاسم كما في </w:t>
      </w:r>
      <w:hyperlink w:history="1" r:id="rIdjrfm4agygf9zxwfewv2wz">
        <w:r>
          <w:rPr>
            <w:rStyle w:val="Hyperlink"/>
            <w:rtl/>
          </w:rPr>
          <w:t xml:space="preserve">السجل التجاري</w:t>
        </w:r>
      </w:hyperlink>
      <w:r>
        <w:rPr>
          <w:rtl/>
        </w:rPr>
        <w:t xml:space="preserve"> أو في الهوية، لا كما في البطاقة المختصرة.</w:t>
      </w:r>
    </w:p>
  </w:comment>
  <w:comment w:id="1" w:initials="Q" w:author="Qanu" w:date="2026-10-22T00:00:00.000Z">
    <w:p>
      <w:pPr>
        <w:bidi/>
      </w:pPr>
      <w:r>
        <w:rPr>
          <w:b/>
          <w:bCs/>
          <w:rtl/>
        </w:rPr>
        <w:t xml:space="preserve">ملاحظة صياغة</w:t>
      </w:r>
    </w:p>
    <w:p>
      <w:pPr>
        <w:bidi/>
      </w:pPr>
      <w:r>
        <w:rPr>
          <w:rtl/>
        </w:rPr>
        <w:t xml:space="preserve">هوية المفوَّض إليه كاملة. وخطاب بلا هوية ترفضه أكثر الجهات.</w:t>
      </w:r>
    </w:p>
  </w:comment>
  <w:comment w:id="2" w:initials="Q" w:author="Qanu" w:date="2026-10-22T00:00:00.000Z">
    <w:p>
      <w:pPr>
        <w:bidi/>
      </w:pPr>
      <w:r>
        <w:rPr>
          <w:b/>
          <w:bCs/>
          <w:rtl/>
        </w:rPr>
        <w:t xml:space="preserve">ملاحظة صياغة</w:t>
      </w:r>
    </w:p>
    <w:p>
      <w:pPr>
        <w:bidi/>
      </w:pPr>
      <w:r>
        <w:rPr>
          <w:rtl/>
        </w:rPr>
        <w:t xml:space="preserve">في السعودية ما جاوز الإدارة يحتاج وكالة خاصة، والألفاظ العامة التي لا تعيّن نوع التصرف لا تصح وكالة.</w:t>
      </w:r>
      <w:r>
        <w:rPr>
          <w:rtl/>
        </w:rPr>
        <w:t xml:space="preserve"> [1]</w:t>
      </w:r>
      <w:r>
        <w:rPr>
          <w:rtl/>
        </w:rPr>
        <w:t xml:space="preserve"> سمّوا التصرف. وإذا اشترطت الجهة وكالة صادرة فهذه الصيغة لا تكفي.</w:t>
      </w:r>
      <w:r>
        <w:rPr>
          <w:rtl/>
        </w:rPr>
        <w:t xml:space="preserve"> [4]</w:t>
      </w:r>
    </w:p>
  </w:comment>
  <w:comment w:id="3" w:initials="Q" w:author="Qanu" w:date="2026-10-22T00:00:00.000Z">
    <w:p>
      <w:pPr>
        <w:bidi/>
      </w:pPr>
      <w:r>
        <w:rPr>
          <w:b/>
          <w:bCs/>
          <w:rtl/>
        </w:rPr>
        <w:t xml:space="preserve">ملاحظة صياغة</w:t>
      </w:r>
    </w:p>
    <w:p>
      <w:pPr>
        <w:bidi/>
      </w:pPr>
      <w:r>
        <w:rPr>
          <w:rtl/>
        </w:rPr>
        <w:t xml:space="preserve">تصرف واحد مكتوب أقوى من عبارة «في كل ما يخصني». والعبارة العامة لا تصح وكالة في السعودية إذا لم تعيّن نوع التصرف.</w:t>
      </w:r>
      <w:r>
        <w:rPr>
          <w:rtl/>
        </w:rPr>
        <w:t xml:space="preserve"> [1]</w:t>
      </w:r>
    </w:p>
  </w:comment>
  <w:comment w:id="4" w:initials="Q" w:author="Qanu" w:date="2026-10-22T00:00:00.000Z">
    <w:p>
      <w:pPr>
        <w:bidi/>
      </w:pPr>
      <w:r>
        <w:rPr>
          <w:b/>
          <w:bCs/>
          <w:rtl/>
        </w:rPr>
        <w:t xml:space="preserve">ملاحظة صياغة</w:t>
      </w:r>
    </w:p>
    <w:p>
      <w:pPr>
        <w:bidi/>
      </w:pPr>
      <w:r>
        <w:rPr>
          <w:rtl/>
        </w:rPr>
        <w:t xml:space="preserve">سمّوا ما يُستلم والجهة المسلِّمة. واستلام شيكات أو مراجعة جهة بذاتها قد تطلب له تلك الجهة نموذجها. لا تنسخوا ذلك النموذج.</w:t>
      </w:r>
    </w:p>
  </w:comment>
  <w:comment w:id="5" w:initials="Q" w:author="Qanu" w:date="2026-10-22T00:00:00.000Z">
    <w:p>
      <w:pPr>
        <w:bidi/>
      </w:pPr>
      <w:r>
        <w:rPr>
          <w:b/>
          <w:bCs/>
          <w:rtl/>
        </w:rPr>
        <w:t xml:space="preserve">ملاحظة صياغة</w:t>
      </w:r>
    </w:p>
    <w:p>
      <w:pPr>
        <w:bidi/>
      </w:pPr>
      <w:r>
        <w:rPr>
          <w:rtl/>
        </w:rPr>
        <w:t xml:space="preserve">اكتبوا يوم النهاية. والنصوص المراجعة لا تضع أجلاً نظامياً لخطاب غير موثّق إذا خلا من مدة، فخلوّ المدة قيد مراجعة مع محامٍ. وفي السعودية قيد الألفاظ العامة قيد نطاق لا تقويم.</w:t>
      </w:r>
      <w:r>
        <w:rPr>
          <w:rtl/>
        </w:rPr>
        <w:t xml:space="preserve"> [1]</w:t>
      </w:r>
    </w:p>
  </w:comment>
  <w:comment w:id="6" w:initials="Q" w:author="Qanu" w:date="2026-10-22T00:00:00.000Z">
    <w:p>
      <w:pPr>
        <w:bidi/>
      </w:pPr>
      <w:r>
        <w:rPr>
          <w:b/>
          <w:bCs/>
          <w:rtl/>
        </w:rPr>
        <w:t xml:space="preserve">ملاحظة صياغة</w:t>
      </w:r>
    </w:p>
    <w:p>
      <w:pPr>
        <w:bidi/>
      </w:pPr>
      <w:r>
        <w:rPr>
          <w:rtl/>
        </w:rPr>
        <w:t xml:space="preserve">ختم الشركة حيث اعتادت الجهة أن تطلبه. والتوقيع وحده قد لا يكفي لتلك الجهة، وهذا لا يغيّر أن الخطاب غير موثّق.</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10048653-5A2F-4E41-AC8C-AA94FAFECE4F}"/>
    <w:embedBold r:id="rId2" w:fontKey="{105D7354-D789-DAB5-2DD3-6A3CB16136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‪https://www.qanu.ai/ar/نماذج/نموذج-تفويض‬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‪https://www.qanu.ai/ar/نماذج/نموذج-تفويض‬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jrfm4agygf9zxwfewv2wz" Type="http://schemas.openxmlformats.org/officeDocument/2006/relationships/hyperlink" Target="https://www.qanu.ai/ar/%D9%85%D8%B3%D8%B1%D8%AF-%D9%82%D8%A7%D9%86%D9%88%D9%86%D9%8A/%D8%B3%D8%AC%D9%84-%D8%AA%D8%AC%D8%A7%D8%B1%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efnzmi-lqfxnversxvpls" Type="http://schemas.openxmlformats.org/officeDocument/2006/relationships/hyperlink" Target="https://laws.boe.gov.sa/BoeLaws/Laws/LawDetails/655fdb42-8c96-422b-b8c4-b04f0095c94c/1" TargetMode="External"/><Relationship Id="rIdd5u8rsnrjxoneyn78melf" Type="http://schemas.openxmlformats.org/officeDocument/2006/relationships/hyperlink" Target="https://uaelegislation.gov.ae/en/legislations/4011" TargetMode="External"/><Relationship Id="rIdnk0fcjbhekyhnxp9brxhh" Type="http://schemas.openxmlformats.org/officeDocument/2006/relationships/hyperlink" Target="https://www.moj.gov.sa/ar/eServices/pages/3472d517-7cb4-4cd5-a6bc-2abc9751eea3.aspx" TargetMode="External"/><Relationship Id="rId8sksefz_vs_qyhlvu-hf0" Type="http://schemas.openxmlformats.org/officeDocument/2006/relationships/hyperlink" Target="https://creativecommons.org/licenses/by/4.0/deed.ar" TargetMode="External"/><Relationship Id="rIdngggpm4vk6jvk6qt4ujuc" Type="http://schemas.openxmlformats.org/officeDocument/2006/relationships/hyperlink" Target="https://laws.boe.gov.sa/BoeLaws/Laws/LawDetails/655fdb42-8c96-422b-b8c4-b04f0095c94c/1" TargetMode="External"/><Relationship Id="rIdikmg8os9ybgmhr9w8ariu" Type="http://schemas.openxmlformats.org/officeDocument/2006/relationships/hyperlink" Target="https://qanoon.om/p/2013/rd2013029/" TargetMode="External"/><Relationship Id="rIdv-iyzf2klzeil3zyykhss" Type="http://schemas.openxmlformats.org/officeDocument/2006/relationships/hyperlink" Target="https://uaelegislation.gov.ae/en/legislations/4011" TargetMode="External"/><Relationship Id="rIdlrcobsevyfcjbxagvz-up" Type="http://schemas.openxmlformats.org/officeDocument/2006/relationships/hyperlink" Target="https://www.moj.gov.sa/ar/eServices/pages/3472d517-7cb4-4cd5-a6bc-2abc9751eea3.aspx" TargetMode="External"/><Relationship Id="rIdgpbwmgwgxuwqne8spno1_" Type="http://schemas.openxmlformats.org/officeDocument/2006/relationships/hyperlink" Target="https://najiz.sa/applications/landing"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تفويض من شركة لشخص</dc:title>
  <dc:creator>Qanu</dc:creator>
  <cp:keywords>تفويض, تمثيل الشركة, وكالة,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2026-10-22T18:15:28.673Z</dcterms:created>
  <dcterms:modified xsi:type="dcterms:W3CDTF">2026-10-22T18:15:28.673Z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https://www.qanu.ai/ar/نماذج/نموذج-تفويض</vt:lpwstr>
  </property>
</Properties>
</file>