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لا يسمّي النظام «اتفاقية تعاون».</w:t>
      </w:r>
      <w:r>
        <w:rPr>
          <w:rtl/>
        </w:rPr>
        <w:t xml:space="preserve"> في السعودية يكون الانعقاد وفق نظام المعاملات المدنية الصادر بالمرسوم الملكي رقم (م/191) وتاريخ 29/11/1444هـ: الإيجاب والقبول (المادة 31)، والمسائل الجوهرية (المادة 42)، والوعد بالتعاقد (المادة 43).</w:t>
      </w:r>
      <w:r>
        <w:rPr>
          <w:rtl/>
        </w:rPr>
        <w:t xml:space="preserve"> [4][1]</w:t>
      </w:r>
      <w:r>
        <w:rPr>
          <w:rtl/>
        </w:rPr>
        <w:t xml:space="preserve"> فورقة فيها المسائل الجوهرية ولم يُكتب أنها غير ملزمة قد تُحمل على أنها عقد. ومواد الانعقاد في الإمارات وفق المرسوم بقانون اتحادي رقم (25) لسنة 2025 قيد المراجعة، فلا يُذكر رقم مادة.</w:t>
      </w:r>
      <w:r>
        <w:rPr>
          <w:rtl/>
        </w:rPr>
        <w:t xml:space="preserve"> [2][3]</w:t>
      </w:r>
      <w:r>
        <w:rPr>
          <w:rtl/>
        </w:rPr>
        <w:t xml:space="preserve"> وهي لا تُنشئ شركة.</w:t>
      </w:r>
      <w:r>
        <w:rPr>
          <w:rtl/>
        </w:rPr>
        <w:t xml:space="preserve"> [7][8]</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المعاملات المدنية: </w:t>
      </w:r>
      <w:hyperlink w:history="1" r:id="rIdm37yqdp0oruq5vwuydrf3">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بوابة الأنظمة بوزارة العدل: </w:t>
      </w:r>
      <w:hyperlink w:history="1" r:id="rId_9pgcxxwubxljhtt4imml">
        <w:r>
          <w:rPr>
            <w:rStyle w:val="Hyperlink"/>
            <w:sz w:val="17"/>
            <w:szCs w:val="17"/>
          </w:rPr>
          <w:t xml:space="preserve">‪https://laws.moj.gov.sa/ar/legislation/PBbHmywh1XMp-Kyv3NtQLg‬</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بوابة تشريعات الإمارات: </w:t>
      </w:r>
      <w:hyperlink w:history="1" r:id="rIde32hfn9qtxsigdz1hdvbr">
        <w:r>
          <w:rPr>
            <w:rStyle w:val="Hyperlink"/>
            <w:sz w:val="17"/>
            <w:szCs w:val="17"/>
          </w:rPr>
          <w:t xml:space="preserve">‪https://u.ae/en/information-and-services/justice-safety-and-the-law/Law/how-are-uae-laws-issued-and-how-to-find-them/where-to-find-uae-federal-laws‬</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الإمارات:</w:t>
      </w:r>
      <w:r>
        <w:rPr>
          <w:sz w:val="19"/>
          <w:szCs w:val="19"/>
          <w:rtl/>
        </w:rPr>
        <w:t xml:space="preserve"> المرسوم بقانون اتحادي رقم (25) لسنة 2025، نافذ في 1 يونيو 2026. ومواد الانعقاد قيد المراجعة. لا رقم مادة.</w:t>
      </w:r>
      <w:r>
        <w:rPr>
          <w:sz w:val="19"/>
          <w:szCs w:val="19"/>
          <w:rtl/>
        </w:rPr>
        <w:t xml:space="preserve"> [2]</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البحرين وقطر والكويت وعُمان:</w:t>
      </w:r>
      <w:r>
        <w:rPr>
          <w:sz w:val="19"/>
          <w:szCs w:val="19"/>
          <w:rtl/>
        </w:rPr>
        <w:t xml:space="preserve"> قيد المراجعة. لا رقم مادة.</w:t>
      </w:r>
    </w:p>
    <w:p>
      <w:pPr>
        <w:bidi/>
        <w:spacing w:after="240"/>
      </w:pPr>
    </w:p>
    <w:p>
      <w:pPr>
        <w:pStyle w:val="Title"/>
        <w:bidi/>
      </w:pPr>
      <w:r>
        <w:rPr>
          <w:rtl/>
        </w:rPr>
        <w:t xml:space="preserve">اتفاقية تعاون</w:t>
      </w:r>
    </w:p>
    <w:p>
      <w:pPr>
        <w:bidi/>
        <w:spacing w:after="240"/>
      </w:pPr>
      <w:r>
        <w:rPr>
          <w:color w:val="444444"/>
          <w:rtl/>
        </w:rPr>
        <w:t xml:space="preserve">عقد لعمل مشترك محدود بين طرفين في الخليج. وهي لا تؤسس شركة وليست اقتسام ربح كشراكة ما لم تضبط الورقة ذلك.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w:t>
      </w:r>
    </w:p>
    <w:p>
      <w:pPr>
        <w:pStyle w:val="Heading1"/>
        <w:bidi/>
      </w:pPr>
      <w:commentRangeStart w:id="0"/>
      <w:r>
        <w:rPr>
          <w:rtl/>
        </w:rPr>
        <w:t xml:space="preserve">البند (1): الأطراف</w:t>
      </w:r>
      <w:commentRangeEnd w:id="0"/>
      <w:r>
        <w:rPr>
          <w:rtl/>
        </w:rPr>
        <w:commentReference w:id="0"/>
      </w:r>
    </w:p>
    <w:p>
      <w:pPr>
        <w:bidi/>
      </w:pPr>
      <w:r>
        <w:rPr>
          <w:rtl/>
        </w:rPr>
        <w:t xml:space="preserve">حُررت هذه الاتفاقية في </w:t>
      </w:r>
      <w:r>
        <w:rPr>
          <w:highlight w:val="yellow"/>
          <w:rtl/>
        </w:rPr>
        <w:t xml:space="preserve">[</w:t>
      </w:r>
      <w:r>
        <w:rPr>
          <w:highlight w:val="yellow"/>
          <w:rtl/>
        </w:rPr>
        <w:t xml:space="preserve">التاريخ</w:t>
      </w:r>
      <w:r>
        <w:rPr>
          <w:highlight w:val="yellow"/>
          <w:rtl/>
        </w:rPr>
        <w:t xml:space="preserve">]</w:t>
      </w:r>
      <w:r>
        <w:rPr>
          <w:rtl/>
        </w:rPr>
        <w:t xml:space="preserve"> بين </w:t>
      </w:r>
      <w:r>
        <w:rPr>
          <w:highlight w:val="yellow"/>
          <w:rtl/>
        </w:rPr>
        <w:t xml:space="preserve">[</w:t>
      </w:r>
      <w:r>
        <w:rPr>
          <w:highlight w:val="yellow"/>
          <w:rtl/>
        </w:rPr>
        <w:t xml:space="preserve">الطرف الأول: الاسم، رقم الهوية/السجل التجاري، العنوان</w:t>
      </w:r>
      <w:r>
        <w:rPr>
          <w:highlight w:val="yellow"/>
          <w:rtl/>
        </w:rPr>
        <w:t xml:space="preserve">]</w:t>
      </w:r>
      <w:r>
        <w:rPr>
          <w:rtl/>
        </w:rPr>
        <w:t xml:space="preserve"> و</w:t>
      </w:r>
      <w:r>
        <w:rPr>
          <w:highlight w:val="yellow"/>
          <w:rtl/>
        </w:rPr>
        <w:t xml:space="preserve">[</w:t>
      </w:r>
      <w:r>
        <w:rPr>
          <w:highlight w:val="yellow"/>
          <w:rtl/>
        </w:rPr>
        <w:t xml:space="preserve">الطرف الثاني: الاسم، رقم الهوية/السجل التجاري، العنوان</w:t>
      </w:r>
      <w:r>
        <w:rPr>
          <w:highlight w:val="yellow"/>
          <w:rtl/>
        </w:rPr>
        <w:t xml:space="preserve">]</w:t>
      </w:r>
      <w:r>
        <w:rPr>
          <w:rtl/>
        </w:rPr>
        <w:t xml:space="preserve"> (ويُسمّى كلٌّ منهما «الطرف»).</w:t>
      </w:r>
    </w:p>
    <w:p>
      <w:pPr>
        <w:pStyle w:val="Heading1"/>
        <w:bidi/>
      </w:pPr>
      <w:r>
        <w:rPr>
          <w:rtl/>
        </w:rPr>
        <w:t xml:space="preserve">البند (2): الغرض والمحل</w:t>
      </w:r>
    </w:p>
    <w:p>
      <w:pPr>
        <w:bidi/>
      </w:pPr>
      <w:r>
        <w:rPr>
          <w:rtl/>
        </w:rPr>
        <w:t xml:space="preserve">يتعاون الطرفان على </w:t>
      </w:r>
      <w:r>
        <w:rPr>
          <w:highlight w:val="yellow"/>
          <w:rtl/>
        </w:rPr>
        <w:t xml:space="preserve">[</w:t>
      </w:r>
      <w:r>
        <w:rPr>
          <w:highlight w:val="yellow"/>
          <w:rtl/>
        </w:rPr>
        <w:t xml:space="preserve">صفوا العمل</w:t>
      </w:r>
      <w:r>
        <w:rPr>
          <w:highlight w:val="yellow"/>
          <w:rtl/>
        </w:rPr>
        <w:t xml:space="preserve">]</w:t>
      </w:r>
      <w:r>
        <w:rPr>
          <w:rtl/>
        </w:rPr>
        <w:t xml:space="preserve"> في </w:t>
      </w:r>
      <w:r>
        <w:rPr>
          <w:highlight w:val="yellow"/>
          <w:rtl/>
        </w:rPr>
        <w:t xml:space="preserve">[</w:t>
      </w:r>
      <w:r>
        <w:rPr>
          <w:highlight w:val="yellow"/>
          <w:rtl/>
        </w:rPr>
        <w:t xml:space="preserve">الإقليم</w:t>
      </w:r>
      <w:r>
        <w:rPr>
          <w:highlight w:val="yellow"/>
          <w:rtl/>
        </w:rPr>
        <w:t xml:space="preserve">]</w:t>
      </w:r>
      <w:r>
        <w:rPr>
          <w:rtl/>
        </w:rPr>
        <w:t xml:space="preserve">. وخارج المحل: </w:t>
      </w:r>
      <w:r>
        <w:rPr>
          <w:highlight w:val="yellow"/>
          <w:rtl/>
        </w:rPr>
        <w:t xml:space="preserve">[</w:t>
      </w:r>
      <w:r>
        <w:rPr>
          <w:highlight w:val="yellow"/>
          <w:rtl/>
        </w:rPr>
        <w:t xml:space="preserve">●</w:t>
      </w:r>
      <w:r>
        <w:rPr>
          <w:highlight w:val="yellow"/>
          <w:rtl/>
        </w:rPr>
        <w:t xml:space="preserve">]</w:t>
      </w:r>
      <w:r>
        <w:rPr>
          <w:rtl/>
        </w:rPr>
        <w:t xml:space="preserve">. وعبارة «التعاون في المجالات المشتركة» لا تكفي.</w:t>
      </w:r>
    </w:p>
    <w:p>
      <w:pPr>
        <w:pStyle w:val="Heading1"/>
        <w:bidi/>
      </w:pPr>
      <w:commentRangeStart w:id="1"/>
      <w:r>
        <w:rPr>
          <w:rtl/>
        </w:rPr>
        <w:t xml:space="preserve">البند (3): طبيعة العلاقة</w:t>
      </w:r>
      <w:commentRangeEnd w:id="1"/>
      <w:r>
        <w:rPr>
          <w:rtl/>
        </w:rPr>
        <w:commentReference w:id="1"/>
      </w:r>
    </w:p>
    <w:p>
      <w:pPr>
        <w:bidi/>
      </w:pPr>
      <w:r>
        <w:rPr>
          <w:rtl/>
        </w:rPr>
        <w:t xml:space="preserve">هذه الاتفاقية ترتيب تعاقدي للعمل في البند (2). وهي لا تؤسس شركة ولا تقتسم ربحاً بوصفهما شريكين ما لم يقل البند (4) ذلك كتابة.</w:t>
      </w:r>
    </w:p>
    <w:p>
      <w:pPr>
        <w:pStyle w:val="Heading1"/>
        <w:bidi/>
      </w:pPr>
      <w:r>
        <w:rPr>
          <w:rtl/>
        </w:rPr>
        <w:t xml:space="preserve">البند (4): التزامات كل طرف</w:t>
      </w:r>
    </w:p>
    <w:p>
      <w:pPr>
        <w:bidi/>
      </w:pPr>
      <w:r>
        <w:rPr>
          <w:rtl/>
        </w:rPr>
        <w:t xml:space="preserve">يلتزم الطرف الأول بـ: </w:t>
      </w:r>
      <w:r>
        <w:rPr>
          <w:highlight w:val="yellow"/>
          <w:rtl/>
        </w:rPr>
        <w:t xml:space="preserve">[</w:t>
      </w:r>
      <w:r>
        <w:rPr>
          <w:highlight w:val="yellow"/>
          <w:rtl/>
        </w:rPr>
        <w:t xml:space="preserve">المهام، والمخرجات، والتواريخ</w:t>
      </w:r>
      <w:r>
        <w:rPr>
          <w:highlight w:val="yellow"/>
          <w:rtl/>
        </w:rPr>
        <w:t xml:space="preserve">]</w:t>
      </w:r>
      <w:r>
        <w:rPr>
          <w:rtl/>
        </w:rPr>
        <w:t xml:space="preserve">.</w:t>
      </w:r>
    </w:p>
    <w:p>
      <w:pPr>
        <w:bidi/>
      </w:pPr>
      <w:r>
        <w:rPr>
          <w:rtl/>
        </w:rPr>
        <w:t xml:space="preserve">ويلتزم الطرف الثاني بـ: </w:t>
      </w:r>
      <w:r>
        <w:rPr>
          <w:highlight w:val="yellow"/>
          <w:rtl/>
        </w:rPr>
        <w:t xml:space="preserve">[</w:t>
      </w:r>
      <w:r>
        <w:rPr>
          <w:highlight w:val="yellow"/>
          <w:rtl/>
        </w:rPr>
        <w:t xml:space="preserve">المهام، والمخرجات، والتواريخ</w:t>
      </w:r>
      <w:r>
        <w:rPr>
          <w:highlight w:val="yellow"/>
          <w:rtl/>
        </w:rPr>
        <w:t xml:space="preserve">]</w:t>
      </w:r>
      <w:r>
        <w:rPr>
          <w:rtl/>
        </w:rPr>
        <w:t xml:space="preserve">.</w:t>
      </w:r>
    </w:p>
    <w:p>
      <w:pPr>
        <w:bidi/>
      </w:pPr>
      <w:r>
        <w:rPr>
          <w:rtl/>
        </w:rPr>
        <w:t xml:space="preserve">ولا يوقّع أي طرف عن الآخر ولا يُلزمه إلا بتفويض مكتوب مستقل.</w:t>
      </w:r>
    </w:p>
    <w:p>
      <w:pPr>
        <w:pStyle w:val="Heading1"/>
        <w:bidi/>
      </w:pPr>
      <w:commentRangeStart w:id="2"/>
      <w:r>
        <w:rPr>
          <w:rtl/>
        </w:rPr>
        <w:t xml:space="preserve">البند (5): التكاليف والسرية</w:t>
      </w:r>
      <w:commentRangeEnd w:id="2"/>
      <w:r>
        <w:rPr>
          <w:rtl/>
        </w:rPr>
        <w:commentReference w:id="2"/>
      </w:r>
    </w:p>
    <w:p>
      <w:pPr>
        <w:bidi/>
      </w:pPr>
      <w:r>
        <w:rPr>
          <w:rtl/>
        </w:rPr>
        <w:t xml:space="preserve">يتحمل كل طرف تكاليفه، ما لم يُكتب هنا تقسيم آخر: </w:t>
      </w:r>
      <w:r>
        <w:rPr>
          <w:highlight w:val="yellow"/>
          <w:rtl/>
        </w:rPr>
        <w:t xml:space="preserve">[</w:t>
      </w:r>
      <w:r>
        <w:rPr>
          <w:highlight w:val="yellow"/>
          <w:rtl/>
        </w:rPr>
        <w:t xml:space="preserve">●</w:t>
      </w:r>
      <w:r>
        <w:rPr>
          <w:highlight w:val="yellow"/>
          <w:rtl/>
        </w:rPr>
        <w:t xml:space="preserve">]</w:t>
      </w:r>
      <w:r>
        <w:rPr>
          <w:rtl/>
        </w:rPr>
        <w:t xml:space="preserve">.</w:t>
      </w:r>
    </w:p>
    <w:p>
      <w:pPr>
        <w:bidi/>
      </w:pPr>
      <w:r>
        <w:rPr>
          <w:b/>
          <w:bCs/>
          <w:rtl/>
        </w:rPr>
        <w:t xml:space="preserve">خيار.</w:t>
      </w:r>
      <w:r>
        <w:rPr>
          <w:rtl/>
        </w:rPr>
        <w:t xml:space="preserve"> لمدة </w:t>
      </w:r>
      <w:r>
        <w:rPr>
          <w:highlight w:val="yellow"/>
          <w:rtl/>
        </w:rPr>
        <w:t xml:space="preserve">[</w:t>
      </w:r>
      <w:r>
        <w:rPr>
          <w:highlight w:val="yellow"/>
          <w:rtl/>
        </w:rPr>
        <w:t xml:space="preserve">●</w:t>
      </w:r>
      <w:r>
        <w:rPr>
          <w:highlight w:val="yellow"/>
          <w:rtl/>
        </w:rPr>
        <w:t xml:space="preserve">]</w:t>
      </w:r>
      <w:r>
        <w:rPr>
          <w:rtl/>
        </w:rPr>
        <w:t xml:space="preserve"> شهراً بعد انتهاء هذه الاتفاقية يحفظ كل طرف سرية المعلومات غير العلنية التي يشاركه الآخر لهذا العمل، ولا يستعملها إلا فيه.</w:t>
      </w:r>
    </w:p>
    <w:p>
      <w:pPr>
        <w:pStyle w:val="Heading1"/>
        <w:bidi/>
      </w:pPr>
      <w:r>
        <w:rPr>
          <w:rtl/>
        </w:rPr>
        <w:t xml:space="preserve">البند (6): المدة</w:t>
      </w:r>
    </w:p>
    <w:p>
      <w:pPr>
        <w:bidi/>
      </w:pPr>
      <w:r>
        <w:rPr>
          <w:rtl/>
        </w:rPr>
        <w:t xml:space="preserve">تسري هذه الاتفاقية من </w:t>
      </w:r>
      <w:r>
        <w:rPr>
          <w:highlight w:val="yellow"/>
          <w:rtl/>
        </w:rPr>
        <w:t xml:space="preserve">[</w:t>
      </w:r>
      <w:r>
        <w:rPr>
          <w:highlight w:val="yellow"/>
          <w:rtl/>
        </w:rPr>
        <w:t xml:space="preserve">التاريخ</w:t>
      </w:r>
      <w:r>
        <w:rPr>
          <w:highlight w:val="yellow"/>
          <w:rtl/>
        </w:rPr>
        <w:t xml:space="preserve">]</w:t>
      </w:r>
      <w:r>
        <w:rPr>
          <w:rtl/>
        </w:rPr>
        <w:t xml:space="preserve"> إلى </w:t>
      </w:r>
      <w:r>
        <w:rPr>
          <w:highlight w:val="yellow"/>
          <w:rtl/>
        </w:rPr>
        <w:t xml:space="preserve">[</w:t>
      </w:r>
      <w:r>
        <w:rPr>
          <w:highlight w:val="yellow"/>
          <w:rtl/>
        </w:rPr>
        <w:t xml:space="preserve">التاريخ أو الحدث</w:t>
      </w:r>
      <w:r>
        <w:rPr>
          <w:highlight w:val="yellow"/>
          <w:rtl/>
        </w:rPr>
        <w:t xml:space="preserve">]</w:t>
      </w:r>
      <w:r>
        <w:rPr>
          <w:rtl/>
        </w:rPr>
        <w:t xml:space="preserve">. ويجوز لأي طرف إنهاؤها بإخطار كتابي مدته </w:t>
      </w:r>
      <w:r>
        <w:rPr>
          <w:highlight w:val="yellow"/>
          <w:rtl/>
        </w:rPr>
        <w:t xml:space="preserve">[</w:t>
      </w:r>
      <w:r>
        <w:rPr>
          <w:highlight w:val="yellow"/>
          <w:rtl/>
        </w:rPr>
        <w:t xml:space="preserve">●</w:t>
      </w:r>
      <w:r>
        <w:rPr>
          <w:highlight w:val="yellow"/>
          <w:rtl/>
        </w:rPr>
        <w:t xml:space="preserve">]</w:t>
      </w:r>
      <w:r>
        <w:rPr>
          <w:rtl/>
        </w:rPr>
        <w:t xml:space="preserve"> يوماً، ما لم يكن مخرجٌ مقبولٌ ما زال واجب الإتمام.</w:t>
      </w:r>
    </w:p>
    <w:p>
      <w:pPr>
        <w:pStyle w:val="Heading1"/>
        <w:bidi/>
      </w:pPr>
      <w:r>
        <w:rPr>
          <w:rtl/>
        </w:rPr>
        <w:t xml:space="preserve">البند (7): ما ليست عليه هذه الاتفاقية</w:t>
      </w:r>
    </w:p>
    <w:p>
      <w:pPr>
        <w:bidi/>
        <w:ind w:start="360" w:hanging="0"/>
      </w:pPr>
      <w:r>
        <w:rPr>
          <w:rtl/>
        </w:rPr>
        <w:t xml:space="preserve">(أ) لا تؤسس شركة. استخدموا </w:t>
      </w:r>
      <w:hyperlink w:history="1" r:id="rIdmlbateyntyulzqoa-q0ir">
        <w:r>
          <w:rPr>
            <w:rStyle w:val="Hyperlink"/>
            <w:rtl/>
          </w:rPr>
          <w:t xml:space="preserve">عقد التأسيس</w:t>
        </w:r>
      </w:hyperlink>
      <w:r>
        <w:rPr>
          <w:rtl/>
        </w:rPr>
        <w:t xml:space="preserve"> أو </w:t>
      </w:r>
      <w:hyperlink w:history="1" r:id="rIdb85laiorpsvv2rvur8bgw">
        <w:r>
          <w:rPr>
            <w:rStyle w:val="Hyperlink"/>
            <w:rtl/>
          </w:rPr>
          <w:t xml:space="preserve">النظام الأساس</w:t>
        </w:r>
      </w:hyperlink>
      <w:r>
        <w:rPr>
          <w:rtl/>
        </w:rPr>
        <w:t xml:space="preserve">.</w:t>
      </w:r>
    </w:p>
    <w:p>
      <w:pPr>
        <w:bidi/>
        <w:ind w:start="360" w:hanging="0"/>
      </w:pPr>
      <w:r>
        <w:rPr>
          <w:rtl/>
        </w:rPr>
        <w:t xml:space="preserve">(ب) لا تقتسم ربحاً بوصفهما شريكين. استخدموا </w:t>
      </w:r>
      <w:hyperlink w:history="1" r:id="rIdvxg3kzpslxygngpwfi5z-">
        <w:r>
          <w:rPr>
            <w:rStyle w:val="Hyperlink"/>
            <w:rtl/>
          </w:rPr>
          <w:t xml:space="preserve">عقد الشراكة</w:t>
        </w:r>
      </w:hyperlink>
      <w:r>
        <w:rPr>
          <w:rtl/>
        </w:rPr>
        <w:t xml:space="preserve">.</w:t>
      </w:r>
    </w:p>
    <w:p>
      <w:pPr>
        <w:bidi/>
        <w:ind w:start="360" w:hanging="0"/>
      </w:pPr>
      <w:r>
        <w:rPr>
          <w:rtl/>
        </w:rPr>
        <w:t xml:space="preserve">(ج) إن كان النص قصداً فقط بلا التزام بالأداء فاستخدموا </w:t>
      </w:r>
      <w:hyperlink w:history="1" r:id="rIdg48waoox58eaalrkt8xh2">
        <w:r>
          <w:rPr>
            <w:rStyle w:val="Hyperlink"/>
            <w:rtl/>
          </w:rPr>
          <w:t xml:space="preserve">مذكرة التفاهم</w:t>
        </w:r>
      </w:hyperlink>
      <w:r>
        <w:rPr>
          <w:rtl/>
        </w:rPr>
        <w:t xml:space="preserve">.</w:t>
      </w:r>
    </w:p>
    <w:p>
      <w:pPr>
        <w:bidi/>
        <w:ind w:start="360" w:hanging="0"/>
      </w:pPr>
      <w:r>
        <w:rPr>
          <w:rtl/>
        </w:rPr>
        <w:t xml:space="preserve">(د) رأس المال مقابل نسبة ملكية موضعه </w:t>
      </w:r>
      <w:hyperlink w:history="1" r:id="rIdqm3freuyaebusvvbtfdvv">
        <w:r>
          <w:rPr>
            <w:rStyle w:val="Hyperlink"/>
            <w:rtl/>
          </w:rPr>
          <w:t xml:space="preserve">عقد الاستثمار</w:t>
        </w:r>
      </w:hyperlink>
      <w:r>
        <w:rPr>
          <w:rtl/>
        </w:rPr>
        <w:t xml:space="preserve">.</w:t>
      </w:r>
    </w:p>
    <w:p>
      <w:pPr>
        <w:pStyle w:val="Heading1"/>
        <w:bidi/>
      </w:pPr>
      <w:commentRangeStart w:id="3"/>
      <w:r>
        <w:rPr>
          <w:rtl/>
        </w:rPr>
        <w:t xml:space="preserve">البند (8): القانون والتوقيع</w:t>
      </w:r>
      <w:commentRangeEnd w:id="3"/>
      <w:r>
        <w:rPr>
          <w:rtl/>
        </w:rPr>
        <w:commentReference w:id="3"/>
      </w:r>
    </w:p>
    <w:p>
      <w:pPr>
        <w:bidi/>
      </w:pPr>
      <w:r>
        <w:rPr>
          <w:rtl/>
        </w:rPr>
        <w:t xml:space="preserve">تخضع لقوانين </w:t>
      </w:r>
      <w:r>
        <w:rPr>
          <w:highlight w:val="yellow"/>
          <w:rtl/>
        </w:rPr>
        <w:t xml:space="preserve">[</w:t>
      </w:r>
      <w:r>
        <w:rPr>
          <w:highlight w:val="yellow"/>
          <w:rtl/>
        </w:rPr>
        <w:t xml:space="preserve">الدولة</w:t>
      </w:r>
      <w:r>
        <w:rPr>
          <w:highlight w:val="yellow"/>
          <w:rtl/>
        </w:rPr>
        <w:t xml:space="preserve">]</w:t>
      </w:r>
      <w:r>
        <w:rPr>
          <w:rtl/>
        </w:rPr>
        <w:t xml:space="preserve">. ويُرفع النزاع إلى </w:t>
      </w:r>
      <w:r>
        <w:rPr>
          <w:highlight w:val="yellow"/>
          <w:rtl/>
        </w:rPr>
        <w:t xml:space="preserve">[</w:t>
      </w:r>
      <w:r>
        <w:rPr>
          <w:highlight w:val="yellow"/>
          <w:rtl/>
        </w:rPr>
        <w:t xml:space="preserve">محاكم ● / التحكيم وفق ●</w:t>
      </w:r>
      <w:r>
        <w:rPr>
          <w:highlight w:val="yellow"/>
          <w:rtl/>
        </w:rPr>
        <w:t xml:space="preserve">]</w:t>
      </w:r>
      <w:r>
        <w:rPr>
          <w:rtl/>
        </w:rPr>
        <w:t xml:space="preserve">. وهي بالعربية والإنجليزية، ويُقدَّم العربي في السعودية.</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الطرف الأول: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الطرف الثاني:</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السعودية</w:t>
      </w:r>
    </w:p>
    <w:p>
      <w:pPr>
        <w:bidi/>
      </w:pPr>
      <w:r>
        <w:rPr>
          <w:rtl/>
        </w:rPr>
        <w:t xml:space="preserve">نظام المعاملات المدنية الصادر بالمرسوم الملكي رقم (م/191) وتاريخ 29/11/1444هـ.</w:t>
      </w:r>
      <w:r>
        <w:rPr>
          <w:rtl/>
        </w:rPr>
        <w:t xml:space="preserve"> [4][1]</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يثبته النص</w:t>
            </w:r>
          </w:p>
        </w:tc>
      </w:tr>
      <w:tr>
        <w:trPr>
          <w:cantSplit/>
        </w:trPr>
        <w:tc>
          <w:tcPr>
            <w:tcMar>
              <w:top w:type="dxa" w:w="80"/>
              <w:left w:type="dxa" w:w="100"/>
              <w:bottom w:type="dxa" w:w="80"/>
              <w:right w:type="dxa" w:w="100"/>
            </w:tcMar>
          </w:tcPr>
          <w:p>
            <w:pPr>
              <w:bidi/>
              <w:spacing w:after="0"/>
            </w:pPr>
            <w:r>
              <w:rPr>
                <w:b w:val="false"/>
                <w:sz w:val="18"/>
                <w:szCs w:val="18"/>
                <w:rtl/>
              </w:rPr>
              <w:t xml:space="preserve">لا نظام بهذا الاسم</w:t>
            </w:r>
          </w:p>
        </w:tc>
        <w:tc>
          <w:tcPr>
            <w:tcMar>
              <w:top w:type="dxa" w:w="80"/>
              <w:left w:type="dxa" w:w="100"/>
              <w:bottom w:type="dxa" w:w="80"/>
              <w:right w:type="dxa" w:w="100"/>
            </w:tcMar>
          </w:tcPr>
          <w:p>
            <w:pPr>
              <w:bidi/>
              <w:spacing w:after="0"/>
            </w:pPr>
            <w:r>
              <w:rPr>
                <w:b w:val="false"/>
                <w:sz w:val="18"/>
                <w:szCs w:val="18"/>
                <w:rtl/>
              </w:rPr>
              <w:t xml:space="preserve">لا مادة عنوانها «اتفاقية تعاون». واسم الورقة لا يحسم الانعقاد.</w:t>
            </w:r>
          </w:p>
        </w:tc>
      </w:tr>
      <w:tr>
        <w:trPr>
          <w:cantSplit/>
        </w:trPr>
        <w:tc>
          <w:tcPr>
            <w:tcMar>
              <w:top w:type="dxa" w:w="80"/>
              <w:left w:type="dxa" w:w="100"/>
              <w:bottom w:type="dxa" w:w="80"/>
              <w:right w:type="dxa" w:w="100"/>
            </w:tcMar>
          </w:tcPr>
          <w:p>
            <w:pPr>
              <w:bidi/>
              <w:spacing w:after="0"/>
            </w:pPr>
            <w:r>
              <w:rPr>
                <w:b w:val="false"/>
                <w:sz w:val="18"/>
                <w:szCs w:val="18"/>
                <w:rtl/>
              </w:rPr>
              <w:t xml:space="preserve">المادة 31</w:t>
            </w:r>
          </w:p>
        </w:tc>
        <w:tc>
          <w:tcPr>
            <w:tcMar>
              <w:top w:type="dxa" w:w="80"/>
              <w:left w:type="dxa" w:w="100"/>
              <w:bottom w:type="dxa" w:w="80"/>
              <w:right w:type="dxa" w:w="100"/>
            </w:tcMar>
          </w:tcPr>
          <w:p>
            <w:pPr>
              <w:bidi/>
              <w:spacing w:after="0"/>
            </w:pPr>
            <w:r>
              <w:rPr>
                <w:b w:val="false"/>
                <w:sz w:val="18"/>
                <w:szCs w:val="18"/>
                <w:rtl/>
              </w:rPr>
              <w:t xml:space="preserve">ينشأ العقد بارتباط الإيجاب بالقبول لإحداث أثر نظامي.</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المادة 42</w:t>
            </w:r>
          </w:p>
        </w:tc>
        <w:tc>
          <w:tcPr>
            <w:tcMar>
              <w:top w:type="dxa" w:w="80"/>
              <w:left w:type="dxa" w:w="100"/>
              <w:bottom w:type="dxa" w:w="80"/>
              <w:right w:type="dxa" w:w="100"/>
            </w:tcMar>
          </w:tcPr>
          <w:p>
            <w:pPr>
              <w:bidi/>
              <w:spacing w:after="0"/>
            </w:pPr>
            <w:r>
              <w:rPr>
                <w:b w:val="false"/>
                <w:sz w:val="18"/>
                <w:szCs w:val="18"/>
                <w:rtl/>
              </w:rPr>
              <w:t xml:space="preserve">الاتفاق على المسائل الجوهرية يكفي ما لم يُربط الانعقاد باتفاق لاحق على الباقي.</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المادة 43</w:t>
            </w:r>
          </w:p>
        </w:tc>
        <w:tc>
          <w:tcPr>
            <w:tcMar>
              <w:top w:type="dxa" w:w="80"/>
              <w:left w:type="dxa" w:w="100"/>
              <w:bottom w:type="dxa" w:w="80"/>
              <w:right w:type="dxa" w:w="100"/>
            </w:tcMar>
          </w:tcPr>
          <w:p>
            <w:pPr>
              <w:bidi/>
              <w:spacing w:after="0"/>
            </w:pPr>
            <w:r>
              <w:rPr>
                <w:b w:val="false"/>
                <w:sz w:val="18"/>
                <w:szCs w:val="18"/>
                <w:rtl/>
              </w:rPr>
              <w:t xml:space="preserve">الوعد بالتعاقد لا يلزم إلا إذا عُيّنت المسائل الجوهرية والمدة.</w:t>
            </w:r>
            <w:r>
              <w:rPr>
                <w:b w:val="false"/>
                <w:sz w:val="18"/>
                <w:szCs w:val="18"/>
                <w:rtl/>
              </w:rPr>
              <w:t xml:space="preserve"> [4]</w:t>
            </w:r>
          </w:p>
        </w:tc>
      </w:tr>
    </w:tbl>
    <w:p>
      <w:pPr>
        <w:bidi/>
      </w:pPr>
    </w:p>
    <w:p>
      <w:pPr>
        <w:pStyle w:val="Heading1"/>
        <w:pageBreakBefore/>
        <w:bidi/>
      </w:pPr>
      <w:r>
        <w:rPr>
          <w:rtl/>
        </w:rPr>
        <w:t xml:space="preserve">ملاحظات الإمارات</w:t>
      </w:r>
    </w:p>
    <w:p>
      <w:pPr>
        <w:bidi/>
      </w:pPr>
      <w:r>
        <w:rPr>
          <w:rtl/>
        </w:rPr>
        <w:t xml:space="preserve">مواد الانعقاد قيد المراجعة.</w:t>
      </w:r>
      <w:r>
        <w:rPr>
          <w:rtl/>
        </w:rPr>
        <w:t xml:space="preserve"> [2][3]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w:t>
            </w:r>
          </w:p>
        </w:tc>
      </w:tr>
      <w:tr>
        <w:trPr>
          <w:cantSplit/>
        </w:trPr>
        <w:tc>
          <w:tcPr>
            <w:tcMar>
              <w:top w:type="dxa" w:w="80"/>
              <w:left w:type="dxa" w:w="100"/>
              <w:bottom w:type="dxa" w:w="80"/>
              <w:right w:type="dxa" w:w="100"/>
            </w:tcMar>
          </w:tcPr>
          <w:p>
            <w:pPr>
              <w:bidi/>
              <w:spacing w:after="0"/>
            </w:pPr>
            <w:r>
              <w:rPr>
                <w:b w:val="false"/>
                <w:sz w:val="18"/>
                <w:szCs w:val="18"/>
                <w:rtl/>
              </w:rPr>
              <w:t xml:space="preserve">النظام</w:t>
            </w:r>
          </w:p>
        </w:tc>
        <w:tc>
          <w:tcPr>
            <w:tcMar>
              <w:top w:type="dxa" w:w="80"/>
              <w:left w:type="dxa" w:w="100"/>
              <w:bottom w:type="dxa" w:w="80"/>
              <w:right w:type="dxa" w:w="100"/>
            </w:tcMar>
          </w:tcPr>
          <w:p>
            <w:pPr>
              <w:bidi/>
              <w:spacing w:after="0"/>
            </w:pPr>
            <w:r>
              <w:rPr>
                <w:b w:val="false"/>
                <w:sz w:val="18"/>
                <w:szCs w:val="18"/>
                <w:rtl/>
              </w:rPr>
              <w:t xml:space="preserve">قانون المعاملات المدنية هو المرسوم بقانون اتحادي رقم (25) لسنة 2025، نافذ في 1 يونيو 2026.</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مواد الانعقاد</w:t>
            </w:r>
          </w:p>
        </w:tc>
        <w:tc>
          <w:tcPr>
            <w:tcMar>
              <w:top w:type="dxa" w:w="80"/>
              <w:left w:type="dxa" w:w="100"/>
              <w:bottom w:type="dxa" w:w="80"/>
              <w:right w:type="dxa" w:w="100"/>
            </w:tcMar>
          </w:tcPr>
          <w:p>
            <w:pPr>
              <w:bidi/>
              <w:spacing w:after="0"/>
            </w:pPr>
            <w:r>
              <w:rPr>
                <w:b w:val="false"/>
                <w:sz w:val="18"/>
                <w:szCs w:val="18"/>
                <w:rtl/>
              </w:rPr>
              <w:t xml:space="preserve">قيد المراجعة. لا رقم مادة.</w:t>
            </w:r>
          </w:p>
        </w:tc>
      </w:tr>
      <w:tr>
        <w:trPr>
          <w:cantSplit/>
        </w:trPr>
        <w:tc>
          <w:tcPr>
            <w:tcMar>
              <w:top w:type="dxa" w:w="80"/>
              <w:left w:type="dxa" w:w="100"/>
              <w:bottom w:type="dxa" w:w="80"/>
              <w:right w:type="dxa" w:w="100"/>
            </w:tcMar>
          </w:tcPr>
          <w:p>
            <w:pPr>
              <w:bidi/>
              <w:spacing w:after="0"/>
            </w:pPr>
            <w:r>
              <w:rPr>
                <w:b w:val="false"/>
                <w:sz w:val="18"/>
                <w:szCs w:val="18"/>
                <w:rtl/>
              </w:rPr>
              <w:t xml:space="preserve">الشركة</w:t>
            </w:r>
          </w:p>
        </w:tc>
        <w:tc>
          <w:tcPr>
            <w:tcMar>
              <w:top w:type="dxa" w:w="80"/>
              <w:left w:type="dxa" w:w="100"/>
              <w:bottom w:type="dxa" w:w="80"/>
              <w:right w:type="dxa" w:w="100"/>
            </w:tcMar>
          </w:tcPr>
          <w:p>
            <w:pPr>
              <w:bidi/>
              <w:spacing w:after="0"/>
            </w:pPr>
            <w:r>
              <w:rPr>
                <w:b w:val="false"/>
                <w:sz w:val="18"/>
                <w:szCs w:val="18"/>
                <w:rtl/>
              </w:rPr>
              <w:t xml:space="preserve">المرسوم بقانون اتحادي رقم (32) لسنة 2021. وهذه الورقة لا تؤسس شركة.</w:t>
            </w:r>
            <w:r>
              <w:rPr>
                <w:b w:val="false"/>
                <w:sz w:val="18"/>
                <w:szCs w:val="18"/>
                <w:rtl/>
              </w:rPr>
              <w:t xml:space="preserve"> [8]</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cv69vqmgtfd8ec7ihqngn">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‪https://www.qanu.ai/ar/نماذج/نموذج-اتفاقية-تعاون‬ · آخر مراجعة: 29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بوابة الأنظمة بوزارة العدل، نظام المعاملات المدنية الصادر بالمرسوم الملكي رقم (م/191) وتاريخ 29/11/1444هـ </w:t>
      </w:r>
      <w:hyperlink w:history="1" r:id="rIdkih8k2m5cu3tiwpx2kz6o">
        <w:r>
          <w:rPr>
            <w:rStyle w:val="Hyperlink"/>
            <w:sz w:val="16"/>
            <w:szCs w:val="16"/>
          </w:rPr>
          <w:t xml:space="preserve">https://laws.moj.gov.sa/ar/legislation/PBbHmywh1XMp-Kyv3NtQLg</w:t>
        </w:r>
      </w:hyperlink>
    </w:p>
    <w:p>
      <w:pPr>
        <w:bidi/>
        <w:ind w:start="360" w:hanging="360"/>
      </w:pPr>
      <w:r>
        <w:rPr>
          <w:sz w:val="18"/>
          <w:szCs w:val="18"/>
          <w:rtl/>
        </w:rPr>
        <w:t xml:space="preserve">[2] تشريعات الإمارات، مرسوم بقانون اتحادي رقم (25) لسنة 2025 (قانون المعاملات المدنية) </w:t>
      </w:r>
      <w:hyperlink w:history="1" r:id="rIdlxl8i3ly9huhjdm7sepgr">
        <w:r>
          <w:rPr>
            <w:rStyle w:val="Hyperlink"/>
            <w:sz w:val="16"/>
            <w:szCs w:val="16"/>
          </w:rPr>
          <w:t xml:space="preserve">https://uaelegislation.gov.ae/en/legislations/4011</w:t>
        </w:r>
      </w:hyperlink>
    </w:p>
    <w:p>
      <w:pPr>
        <w:bidi/>
        <w:ind w:start="360" w:hanging="360"/>
      </w:pPr>
      <w:r>
        <w:rPr>
          <w:sz w:val="18"/>
          <w:szCs w:val="18"/>
          <w:rtl/>
        </w:rPr>
        <w:t xml:space="preserve">[3] البوابة الرسمية لحكومة الإمارات (u.ae)، أين تُنشر القوانين الاتحادية </w:t>
      </w:r>
      <w:hyperlink w:history="1" r:id="rIdfyy5ut_loegvtcwmnhhdt">
        <w:r>
          <w:rPr>
            <w:rStyle w:val="Hyperlink"/>
            <w:sz w:val="16"/>
            <w:szCs w:val="16"/>
          </w:rPr>
          <w:t xml:space="preserve">https://u.ae/en/information-and-services/justice-safety-and-the-law/Law/how-are-uae-laws-issued-and-how-to-find-them/where-to-find-uae-federal-laws</w:t>
        </w:r>
      </w:hyperlink>
    </w:p>
    <w:p>
      <w:pPr>
        <w:bidi/>
        <w:ind w:start="360" w:hanging="360"/>
      </w:pPr>
      <w:r>
        <w:rPr>
          <w:sz w:val="18"/>
          <w:szCs w:val="18"/>
          <w:rtl/>
        </w:rPr>
        <w:t xml:space="preserve">[4] هيئة الخبراء بمجلس الوزراء، نظام المعاملات المدنية الصادر بالمرسوم الملكي رقم (م/191) وتاريخ 29/11/1444هـ </w:t>
      </w:r>
      <w:hyperlink w:history="1" r:id="rId7wiiais_lqjbzwiq_9va9">
        <w:r>
          <w:rPr>
            <w:rStyle w:val="Hyperlink"/>
            <w:sz w:val="16"/>
            <w:szCs w:val="16"/>
          </w:rPr>
          <w:t xml:space="preserve">https://laws.boe.gov.sa/BoeLaws/Laws/LawDetails/655fdb42-8c96-422b-b8c4-b04f0095c94c/1</w:t>
        </w:r>
      </w:hyperlink>
    </w:p>
    <w:p>
      <w:pPr>
        <w:bidi/>
        <w:ind w:start="360" w:hanging="360"/>
      </w:pPr>
      <w:r>
        <w:rPr>
          <w:sz w:val="18"/>
          <w:szCs w:val="18"/>
          <w:rtl/>
        </w:rPr>
        <w:t xml:space="preserve">[5] الهيئة السعودية للبيانات والذكاء الاصطناعي (سدايا)، بوابة نظام حماية البيانات الشخصية </w:t>
      </w:r>
      <w:hyperlink w:history="1" r:id="rIddcq0nz5k9tekbs0l0vbsv">
        <w:r>
          <w:rPr>
            <w:rStyle w:val="Hyperlink"/>
            <w:sz w:val="16"/>
            <w:szCs w:val="16"/>
          </w:rPr>
          <w:t xml:space="preserve">https://dgp.sdaia.gov.sa/wps/portal/pdp/home</w:t>
        </w:r>
      </w:hyperlink>
    </w:p>
    <w:p>
      <w:pPr>
        <w:bidi/>
        <w:ind w:start="360" w:hanging="360"/>
      </w:pPr>
      <w:r>
        <w:rPr>
          <w:sz w:val="18"/>
          <w:szCs w:val="18"/>
          <w:rtl/>
        </w:rPr>
        <w:t xml:space="preserve">[6] البوابة الرسمية لحكومة الإمارات (u.ae)، قوانين حماية البيانات </w:t>
      </w:r>
      <w:hyperlink w:history="1" r:id="rIdceohpfsqrrxiay_lopjml">
        <w:r>
          <w:rPr>
            <w:rStyle w:val="Hyperlink"/>
            <w:sz w:val="16"/>
            <w:szCs w:val="16"/>
          </w:rPr>
          <w:t xml:space="preserve">https://u.ae/en/about-the-uae/digital-uae/data/data-protection-laws</w:t>
        </w:r>
      </w:hyperlink>
    </w:p>
    <w:p>
      <w:pPr>
        <w:bidi/>
        <w:ind w:start="360" w:hanging="360"/>
      </w:pPr>
      <w:r>
        <w:rPr>
          <w:sz w:val="18"/>
          <w:szCs w:val="18"/>
          <w:rtl/>
        </w:rPr>
        <w:t xml:space="preserve">[7] نظام الشركات، الصادر بالمرسوم الملكي رقم (م/132) وتاريخ 1443/12/1هـ </w:t>
      </w:r>
      <w:hyperlink w:history="1" r:id="rIdgogkrw6cudk_u1dsbf9mm">
        <w:r>
          <w:rPr>
            <w:rStyle w:val="Hyperlink"/>
            <w:sz w:val="16"/>
            <w:szCs w:val="16"/>
          </w:rPr>
          <w:t xml:space="preserve">https://laws.boe.gov.sa/BoeLaws/Laws/LawDetails/a8376aea-1bc3-49d4-9027-aed900b555af/1</w:t>
        </w:r>
      </w:hyperlink>
    </w:p>
    <w:p>
      <w:pPr>
        <w:bidi/>
        <w:ind w:start="360" w:hanging="360"/>
      </w:pPr>
      <w:r>
        <w:rPr>
          <w:sz w:val="18"/>
          <w:szCs w:val="18"/>
          <w:rtl/>
        </w:rPr>
        <w:t xml:space="preserve">[8] البوابة الرسمية لحكومة الإمارات (u.ae)، قانون الشركات التجارية (مرسوم بقانون اتحادي رقم 32 لسنة 2021) </w:t>
      </w:r>
      <w:hyperlink w:history="1" r:id="rIdofsux7alblxnwpcx97aeb">
        <w:r>
          <w:rPr>
            <w:rStyle w:val="Hyperlink"/>
            <w:sz w:val="16"/>
            <w:szCs w:val="16"/>
          </w:rPr>
          <w:t xml:space="preserve">https://u.ae/en/information-and-services/business/Doing-business/doing-business-on-the-mainland/full-foreign-ownership-of-commercial-companies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pPr>
      <w:r>
        <w:rPr>
          <w:b/>
          <w:bCs/>
          <w:rtl/>
        </w:rPr>
        <w:t xml:space="preserve">ملاحظة صياغة</w:t>
      </w:r>
    </w:p>
    <w:p>
      <w:pPr>
        <w:bidi/>
      </w:pPr>
      <w:r>
        <w:rPr>
          <w:rtl/>
        </w:rPr>
        <w:t xml:space="preserve">اكتبوا الاسم كما في الهوية أو في </w:t>
      </w:r>
      <w:hyperlink w:history="1" r:id="rIdecjgzscfjfdlvdjy_l8ev">
        <w:r>
          <w:rPr>
            <w:rStyle w:val="Hyperlink"/>
            <w:rtl/>
          </w:rPr>
          <w:t xml:space="preserve">السجل التجاري</w:t>
        </w:r>
      </w:hyperlink>
      <w:r>
        <w:rPr>
          <w:rtl/>
        </w:rPr>
        <w:t xml:space="preserve">.</w:t>
      </w:r>
    </w:p>
  </w:comment>
  <w:comment w:id="1" w:initials="Q" w:author="Qanu" w:date="2026-10-29T00:00:00.000Z">
    <w:p>
      <w:pPr>
        <w:bidi/>
      </w:pPr>
      <w:r>
        <w:rPr>
          <w:b/>
          <w:bCs/>
          <w:rtl/>
        </w:rPr>
        <w:t xml:space="preserve">ملاحظة صياغة</w:t>
      </w:r>
    </w:p>
    <w:p>
      <w:pPr>
        <w:bidi/>
      </w:pPr>
      <w:r>
        <w:rPr>
          <w:rtl/>
        </w:rPr>
        <w:t xml:space="preserve">الشركة تنشأ بالتأسيس والقيد، لا بهذه الورقة.</w:t>
      </w:r>
      <w:r>
        <w:rPr>
          <w:rtl/>
        </w:rPr>
        <w:t xml:space="preserve"> [7][8]</w:t>
      </w:r>
      <w:r>
        <w:rPr>
          <w:rtl/>
        </w:rPr>
        <w:t xml:space="preserve"> ولاقتسام الربح </w:t>
      </w:r>
      <w:hyperlink w:history="1" r:id="rIdmwyvhobopvw-pn3a3prkr">
        <w:r>
          <w:rPr>
            <w:rStyle w:val="Hyperlink"/>
            <w:rtl/>
          </w:rPr>
          <w:t xml:space="preserve">عقد الشراكة</w:t>
        </w:r>
      </w:hyperlink>
      <w:r>
        <w:rPr>
          <w:rtl/>
        </w:rPr>
        <w:t xml:space="preserve">. وللقصد قبل التعاقد </w:t>
      </w:r>
      <w:hyperlink w:history="1" r:id="rIdmkz6emxmihsw17yb5dxqk">
        <w:r>
          <w:rPr>
            <w:rStyle w:val="Hyperlink"/>
            <w:rtl/>
          </w:rPr>
          <w:t xml:space="preserve">مذكرة التفاهم</w:t>
        </w:r>
      </w:hyperlink>
      <w:r>
        <w:rPr>
          <w:rtl/>
        </w:rPr>
        <w:t xml:space="preserve">.</w:t>
      </w:r>
    </w:p>
  </w:comment>
  <w:comment w:id="2" w:initials="Q" w:author="Qanu" w:date="2026-10-29T00:00:00.000Z">
    <w:p>
      <w:pPr>
        <w:bidi/>
      </w:pPr>
      <w:r>
        <w:rPr>
          <w:b/>
          <w:bCs/>
          <w:rtl/>
        </w:rPr>
        <w:t xml:space="preserve">ملاحظة صياغة</w:t>
      </w:r>
    </w:p>
    <w:p>
      <w:pPr>
        <w:bidi/>
      </w:pPr>
      <w:r>
        <w:rPr>
          <w:rtl/>
        </w:rPr>
        <w:t xml:space="preserve">إن كانت المعلومات بيانات شخصية فقد يسري نظام حماية البيانات الشخصية في المملكة أو في الإمارات. وهذا البند لا يعيد نصوصهما.</w:t>
      </w:r>
      <w:r>
        <w:rPr>
          <w:rtl/>
        </w:rPr>
        <w:t xml:space="preserve"> [5][6]</w:t>
      </w:r>
    </w:p>
  </w:comment>
  <w:comment w:id="3" w:initials="Q" w:author="Qanu" w:date="2026-10-29T00:00:00.000Z">
    <w:p>
      <w:pPr>
        <w:bidi/>
      </w:pPr>
      <w:r>
        <w:rPr>
          <w:b/>
          <w:bCs/>
          <w:rtl/>
        </w:rPr>
        <w:t xml:space="preserve">ملاحظة صياغة</w:t>
      </w:r>
    </w:p>
    <w:p>
      <w:pPr>
        <w:bidi/>
      </w:pPr>
      <w:r>
        <w:rPr>
          <w:rtl/>
        </w:rPr>
        <w:t xml:space="preserve">هذه نقطة بداية. راجعوا النص مع محامٍ مرخّص في الدولة المعنية قبل الاستخدام.</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F9A23A5B-F4C2-31F3-179A-8F8851DB3D4C}"/>
    <w:embedBold r:id="rId2" w:fontKey="{C4979765-743E-7D9A-B047-388B1045AA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29 أكتوبر 2026 – ‪https://www.qanu.ai/ar/نماذج/نموذج-اتفاقية-تعاون‬</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29 أكتوبر 2026 – ‪https://www.qanu.ai/ar/نماذج/نموذج-اتفاقية-تعاون‬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ecjgzscfjfdlvdjy_l8ev" Type="http://schemas.openxmlformats.org/officeDocument/2006/relationships/hyperlink" Target="https://www.qanu.ai/ar/%D9%85%D8%B3%D8%B1%D8%AF-%D9%82%D8%A7%D9%86%D9%88%D9%86%D9%8A/%D8%B3%D8%AC%D9%84-%D8%AA%D8%AC%D8%A7%D8%B1%D9%8A" TargetMode="External"/><Relationship Id="rIdmwyvhobopvw-pn3a3prkr" Type="http://schemas.openxmlformats.org/officeDocument/2006/relationships/hyperlink" Target="https://www.qanu.ai/ar/%D9%86%D9%85%D8%A7%D8%B0%D8%AC/%D9%86%D9%85%D9%88%D8%B0%D8%AC-%D8%B9%D9%82%D8%AF-%D8%B4%D8%B1%D8%A7%D9%83%D8%A9" TargetMode="External"/><Relationship Id="rIdmkz6emxmihsw17yb5dxqk" Type="http://schemas.openxmlformats.org/officeDocument/2006/relationships/hyperlink" Target="https://www.qanu.ai/ar/%D9%86%D9%85%D8%A7%D8%B0%D8%AC/%D9%86%D9%85%D9%88%D8%B0%D8%AC-%D9%85%D8%B0%D9%83%D8%B1%D8%A9-%D8%AA%D9%81%D8%A7%D9%87%D9%85"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m37yqdp0oruq5vwuydrf3" Type="http://schemas.openxmlformats.org/officeDocument/2006/relationships/hyperlink" Target="https://laws.boe.gov.sa/BoeLaws/Laws/LawDetails/655fdb42-8c96-422b-b8c4-b04f0095c94c/1" TargetMode="External"/><Relationship Id="rId_9pgcxxwubxljhtt4imml" Type="http://schemas.openxmlformats.org/officeDocument/2006/relationships/hyperlink" Target="https://laws.moj.gov.sa/ar/legislation/PBbHmywh1XMp-Kyv3NtQLg" TargetMode="External"/><Relationship Id="rIde32hfn9qtxsigdz1hdvbr" Type="http://schemas.openxmlformats.org/officeDocument/2006/relationships/hyperlink" Target="https://u.ae/en/information-and-services/justice-safety-and-the-law/Law/how-are-uae-laws-issued-and-how-to-find-them/where-to-find-uae-federal-laws" TargetMode="External"/><Relationship Id="rIdmlbateyntyulzqoa-q0ir" Type="http://schemas.openxmlformats.org/officeDocument/2006/relationships/hyperlink" Target="https://www.qanu.ai/ar/%D9%86%D9%85%D8%A7%D8%B0%D8%AC/%D9%86%D9%85%D9%88%D8%B0%D8%AC-%D8%B9%D9%82%D8%AF-%D8%AA%D8%A3%D8%B3%D9%8A%D8%B3-%D8%B4%D8%B1%D9%83%D8%A9" TargetMode="External"/><Relationship Id="rIdb85laiorpsvv2rvur8bgw" Type="http://schemas.openxmlformats.org/officeDocument/2006/relationships/hyperlink" Target="https://www.qanu.ai/ar/%D9%86%D9%85%D8%A7%D8%B0%D8%AC/%D9%86%D9%85%D9%88%D8%B0%D8%AC-%D9%86%D8%B8%D8%A7%D9%85-%D8%A3%D8%B3%D8%A7%D8%B3%D9%8A" TargetMode="External"/><Relationship Id="rIdvxg3kzpslxygngpwfi5z-" Type="http://schemas.openxmlformats.org/officeDocument/2006/relationships/hyperlink" Target="https://www.qanu.ai/ar/%D9%86%D9%85%D8%A7%D8%B0%D8%AC/%D9%86%D9%85%D9%88%D8%B0%D8%AC-%D8%B9%D9%82%D8%AF-%D8%B4%D8%B1%D8%A7%D9%83%D8%A9" TargetMode="External"/><Relationship Id="rIdg48waoox58eaalrkt8xh2" Type="http://schemas.openxmlformats.org/officeDocument/2006/relationships/hyperlink" Target="https://www.qanu.ai/ar/%D9%86%D9%85%D8%A7%D8%B0%D8%AC/%D9%86%D9%85%D9%88%D8%B0%D8%AC-%D9%85%D8%B0%D9%83%D8%B1%D8%A9-%D8%AA%D9%81%D8%A7%D9%87%D9%85" TargetMode="External"/><Relationship Id="rIdqm3freuyaebusvvbtfdvv" Type="http://schemas.openxmlformats.org/officeDocument/2006/relationships/hyperlink" Target="https://www.qanu.ai/ar/%D9%86%D9%85%D8%A7%D8%B0%D8%AC/%D9%86%D9%85%D9%88%D8%B0%D8%AC-%D8%B9%D9%82%D8%AF-%D8%A7%D8%B3%D8%AA%D8%AB%D9%85%D8%A7%D8%B1" TargetMode="External"/><Relationship Id="rIdcv69vqmgtfd8ec7ihqngn" Type="http://schemas.openxmlformats.org/officeDocument/2006/relationships/hyperlink" Target="https://creativecommons.org/licenses/by/4.0/deed.ar" TargetMode="External"/><Relationship Id="rIdkih8k2m5cu3tiwpx2kz6o" Type="http://schemas.openxmlformats.org/officeDocument/2006/relationships/hyperlink" Target="https://laws.moj.gov.sa/ar/legislation/PBbHmywh1XMp-Kyv3NtQLg" TargetMode="External"/><Relationship Id="rIdlxl8i3ly9huhjdm7sepgr" Type="http://schemas.openxmlformats.org/officeDocument/2006/relationships/hyperlink" Target="https://uaelegislation.gov.ae/en/legislations/4011" TargetMode="External"/><Relationship Id="rIdfyy5ut_loegvtcwmnhhdt" Type="http://schemas.openxmlformats.org/officeDocument/2006/relationships/hyperlink" Target="https://u.ae/en/information-and-services/justice-safety-and-the-law/Law/how-are-uae-laws-issued-and-how-to-find-them/where-to-find-uae-federal-laws" TargetMode="External"/><Relationship Id="rId7wiiais_lqjbzwiq_9va9" Type="http://schemas.openxmlformats.org/officeDocument/2006/relationships/hyperlink" Target="https://laws.boe.gov.sa/BoeLaws/Laws/LawDetails/655fdb42-8c96-422b-b8c4-b04f0095c94c/1" TargetMode="External"/><Relationship Id="rIddcq0nz5k9tekbs0l0vbsv" Type="http://schemas.openxmlformats.org/officeDocument/2006/relationships/hyperlink" Target="https://dgp.sdaia.gov.sa/wps/portal/pdp/home" TargetMode="External"/><Relationship Id="rIdceohpfsqrrxiay_lopjml" Type="http://schemas.openxmlformats.org/officeDocument/2006/relationships/hyperlink" Target="https://u.ae/en/about-the-uae/digital-uae/data/data-protection-laws" TargetMode="External"/><Relationship Id="rIdgogkrw6cudk_u1dsbf9mm" Type="http://schemas.openxmlformats.org/officeDocument/2006/relationships/hyperlink" Target="https://laws.boe.gov.sa/BoeLaws/Laws/LawDetails/a8376aea-1bc3-49d4-9027-aed900b555af/1" TargetMode="External"/><Relationship Id="rIdofsux7alblxnwpcx97aeb" Type="http://schemas.openxmlformats.org/officeDocument/2006/relationships/hyperlink" Target="https://u.ae/en/information-and-services/business/Doing-business/doing-business-on-the-mainland/full-foreign-ownership-of-commercial-companies"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اتفاقية تعاون (Word و PDF)</dc:title>
  <dc:creator>Qanu</dc:creator>
  <cp:keywords>اتفاقية تعاون, نظام المعاملات المدنية,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2026-10-29T11:28:02.633Z</dcterms:created>
  <dcterms:modified xsi:type="dcterms:W3CDTF">2026-10-29T11:28:02.633Z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https://www.qanu.ai/ar/نماذج/نموذج-اتفاقية-تعاون</vt:lpwstr>
  </property>
</Properties>
</file>