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No statute is named “cooperation agreement”.</w:t>
      </w:r>
      <w:r>
        <w:rPr>
          <w:rtl w:val="false"/>
        </w:rPr>
        <w:t xml:space="preserve"> In Saudi Arabia formation follows the Civil Transactions Law, Royal Decree No. M/191 of 29/11/1444H: offer and acceptance (Article 31), essential terms (Article 42), and a promise to contract (Article 43).</w:t>
      </w:r>
      <w:r>
        <w:rPr>
          <w:rtl w:val="false"/>
        </w:rPr>
        <w:t xml:space="preserve"> [4][1]</w:t>
      </w:r>
      <w:r>
        <w:rPr>
          <w:rtl w:val="false"/>
        </w:rPr>
        <w:t xml:space="preserve"> A paper that states the essential terms and does not say it is non-binding can be held to be a contract. UAE formation articles under Federal Decree-Law No. 25 of 2025 are under review. No article number is stated.</w:t>
      </w:r>
      <w:r>
        <w:rPr>
          <w:rtl w:val="false"/>
        </w:rPr>
        <w:t xml:space="preserve"> [2][3]</w:t>
      </w:r>
      <w:r>
        <w:rPr>
          <w:rtl w:val="false"/>
        </w:rPr>
        <w:t xml:space="preserve"> It does not create a company.</w:t>
      </w:r>
      <w:r>
        <w:rPr>
          <w:rtl w:val="false"/>
        </w:rPr>
        <w:t xml:space="preserve"> [7][8]</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(KSA): </w:t>
      </w:r>
      <w:hyperlink w:history="1" r:id="rIdnrbvhfgznuuxa4x7rjxgi">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Ministry of Justice legal portal: </w:t>
      </w:r>
      <w:hyperlink w:history="1" r:id="rIdchrf1refcvqmxrwwywtp7">
        <w:r>
          <w:rPr>
            <w:rStyle w:val="Hyperlink"/>
            <w:sz w:val="17"/>
            <w:szCs w:val="17"/>
          </w:rPr>
          <w:t xml:space="preserve">https://laws.moj.gov.sa/ar/legislation/PBbHmywh1XMp-Kyv3NtQLg</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Legislation portal: </w:t>
      </w:r>
      <w:hyperlink w:history="1" r:id="rIdmzv1hzeawdxbtosmdbmdo">
        <w:r>
          <w:rPr>
            <w:rStyle w:val="Hyperlink"/>
            <w:sz w:val="17"/>
            <w:szCs w:val="17"/>
          </w:rPr>
          <w:t xml:space="preserve">https://u.ae/en/information-and-services/justice-safety-and-the-law/Law/how-are-uae-laws-issued-and-how-to-find-them/where-to-find-uae-federal-laws</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UAE:</w:t>
      </w:r>
      <w:r>
        <w:rPr>
          <w:sz w:val="19"/>
          <w:szCs w:val="19"/>
          <w:rtl w:val="false"/>
        </w:rPr>
        <w:t xml:space="preserve"> Federal Decree-Law No. 25 of 2025, in force 1 June 2026. Formation articles under review. No article number.</w:t>
      </w:r>
      <w:r>
        <w:rPr>
          <w:sz w:val="19"/>
          <w:szCs w:val="19"/>
          <w:rtl w:val="false"/>
        </w:rPr>
        <w:t xml:space="preserve"> [2]</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Bahrain, Qatar, Kuwait, Oman:</w:t>
      </w:r>
      <w:r>
        <w:rPr>
          <w:sz w:val="19"/>
          <w:szCs w:val="19"/>
          <w:rtl w:val="false"/>
        </w:rPr>
        <w:t xml:space="preserve"> under review. No article number is stated.</w:t>
      </w:r>
    </w:p>
    <w:p>
      <w:pPr>
        <w:bidi w:val="false"/>
        <w:spacing w:after="240"/>
      </w:pPr>
    </w:p>
    <w:p>
      <w:pPr>
        <w:pStyle w:val="Title"/>
        <w:bidi w:val="false"/>
      </w:pPr>
      <w:r>
        <w:rPr>
          <w:rtl w:val="false"/>
        </w:rPr>
        <w:t xml:space="preserve">Cooperation agreement</w:t>
      </w:r>
    </w:p>
    <w:p>
      <w:pPr>
        <w:bidi w:val="false"/>
        <w:spacing w:after="240"/>
      </w:pPr>
      <w:r>
        <w:rPr>
          <w:color w:val="444444"/>
          <w:rtl w:val="false"/>
        </w:rPr>
        <w:t xml:space="preserve">A limited joint-work contract between two parties in the GCC. It does not incorporate a company and it is not a partnership profit-share unless the paper records that.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agreement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Party A: name, ID/CR, address</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Party B: name, ID/CR, address</w:t>
      </w:r>
      <w:r>
        <w:rPr>
          <w:highlight w:val="yellow"/>
          <w:rtl w:val="false"/>
        </w:rPr>
        <w:t xml:space="preserve">]</w:t>
      </w:r>
      <w:r>
        <w:rPr>
          <w:rtl w:val="false"/>
        </w:rPr>
        <w:t xml:space="preserve"> (each a “Party”).</w:t>
      </w:r>
    </w:p>
    <w:p>
      <w:pPr>
        <w:pStyle w:val="Heading1"/>
        <w:bidi w:val="false"/>
      </w:pPr>
      <w:r>
        <w:rPr>
          <w:rtl w:val="false"/>
        </w:rPr>
        <w:t xml:space="preserve">2. Purpose and scope</w:t>
      </w:r>
    </w:p>
    <w:p>
      <w:pPr>
        <w:bidi w:val="false"/>
      </w:pPr>
      <w:r>
        <w:rPr>
          <w:rtl w:val="false"/>
        </w:rPr>
        <w:t xml:space="preserve">The Parties cooperate on </w:t>
      </w:r>
      <w:r>
        <w:rPr>
          <w:highlight w:val="yellow"/>
          <w:rtl w:val="false"/>
        </w:rPr>
        <w:t xml:space="preserve">[</w:t>
      </w:r>
      <w:r>
        <w:rPr>
          <w:highlight w:val="yellow"/>
          <w:rtl w:val="false"/>
        </w:rPr>
        <w:t xml:space="preserve">describe the work</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territory</w:t>
      </w:r>
      <w:r>
        <w:rPr>
          <w:highlight w:val="yellow"/>
          <w:rtl w:val="false"/>
        </w:rPr>
        <w:t xml:space="preserve">]</w:t>
      </w:r>
      <w:r>
        <w:rPr>
          <w:rtl w:val="false"/>
        </w:rPr>
        <w:t xml:space="preserve">. Out of scope: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“Cooperation in areas of mutual interest” is not enough.</w:t>
      </w:r>
    </w:p>
    <w:p>
      <w:pPr>
        <w:pStyle w:val="Heading1"/>
        <w:bidi w:val="false"/>
      </w:pPr>
      <w:commentRangeStart w:id="1"/>
      <w:r>
        <w:rPr>
          <w:rtl w:val="false"/>
        </w:rPr>
        <w:t xml:space="preserve">3. Nature of the relationship</w:t>
      </w:r>
      <w:commentRangeEnd w:id="1"/>
      <w:r>
        <w:rPr>
          <w:rtl w:val="false"/>
        </w:rPr>
        <w:commentReference w:id="1"/>
      </w:r>
    </w:p>
    <w:p>
      <w:pPr>
        <w:bidi w:val="false"/>
      </w:pPr>
      <w:r>
        <w:rPr>
          <w:rtl w:val="false"/>
        </w:rPr>
        <w:t xml:space="preserve">This agreement is a contractual arrangement for the work in clause 2. It does not incorporate a company and it does not share profits as partners unless clause 4 says so in writing.</w:t>
      </w:r>
    </w:p>
    <w:p>
      <w:pPr>
        <w:pStyle w:val="Heading1"/>
        <w:bidi w:val="false"/>
      </w:pPr>
      <w:r>
        <w:rPr>
          <w:rtl w:val="false"/>
        </w:rPr>
        <w:t xml:space="preserve">4. Obligations of each Party</w:t>
      </w:r>
    </w:p>
    <w:p>
      <w:pPr>
        <w:bidi w:val="false"/>
      </w:pPr>
      <w:r>
        <w:rPr>
          <w:rtl w:val="false"/>
        </w:rPr>
        <w:t xml:space="preserve">Party A shall: </w:t>
      </w:r>
      <w:r>
        <w:rPr>
          <w:highlight w:val="yellow"/>
          <w:rtl w:val="false"/>
        </w:rPr>
        <w:t xml:space="preserve">[</w:t>
      </w:r>
      <w:r>
        <w:rPr>
          <w:highlight w:val="yellow"/>
          <w:rtl w:val="false"/>
        </w:rPr>
        <w:t xml:space="preserve">tasks, deliverables, dates</w:t>
      </w:r>
      <w:r>
        <w:rPr>
          <w:highlight w:val="yellow"/>
          <w:rtl w:val="false"/>
        </w:rPr>
        <w:t xml:space="preserve">]</w:t>
      </w:r>
      <w:r>
        <w:rPr>
          <w:rtl w:val="false"/>
        </w:rPr>
        <w:t xml:space="preserve">.</w:t>
      </w:r>
    </w:p>
    <w:p>
      <w:pPr>
        <w:bidi w:val="false"/>
      </w:pPr>
      <w:r>
        <w:rPr>
          <w:rtl w:val="false"/>
        </w:rPr>
        <w:t xml:space="preserve">Party B shall: </w:t>
      </w:r>
      <w:r>
        <w:rPr>
          <w:highlight w:val="yellow"/>
          <w:rtl w:val="false"/>
        </w:rPr>
        <w:t xml:space="preserve">[</w:t>
      </w:r>
      <w:r>
        <w:rPr>
          <w:highlight w:val="yellow"/>
          <w:rtl w:val="false"/>
        </w:rPr>
        <w:t xml:space="preserve">tasks, deliverables, dates</w:t>
      </w:r>
      <w:r>
        <w:rPr>
          <w:highlight w:val="yellow"/>
          <w:rtl w:val="false"/>
        </w:rPr>
        <w:t xml:space="preserve">]</w:t>
      </w:r>
      <w:r>
        <w:rPr>
          <w:rtl w:val="false"/>
        </w:rPr>
        <w:t xml:space="preserve">.</w:t>
      </w:r>
    </w:p>
    <w:p>
      <w:pPr>
        <w:bidi w:val="false"/>
      </w:pPr>
      <w:r>
        <w:rPr>
          <w:rtl w:val="false"/>
        </w:rPr>
        <w:t xml:space="preserve">Neither Party signs for the other or binds it except under a separate written authorization.</w:t>
      </w:r>
    </w:p>
    <w:p>
      <w:pPr>
        <w:pStyle w:val="Heading1"/>
        <w:bidi w:val="false"/>
      </w:pPr>
      <w:commentRangeStart w:id="2"/>
      <w:r>
        <w:rPr>
          <w:rtl w:val="false"/>
        </w:rPr>
        <w:t xml:space="preserve">5. Costs and confidentiality</w:t>
      </w:r>
      <w:commentRangeEnd w:id="2"/>
      <w:r>
        <w:rPr>
          <w:rtl w:val="false"/>
        </w:rPr>
        <w:commentReference w:id="2"/>
      </w:r>
    </w:p>
    <w:p>
      <w:pPr>
        <w:bidi w:val="false"/>
      </w:pPr>
      <w:r>
        <w:rPr>
          <w:rtl w:val="false"/>
        </w:rPr>
        <w:t xml:space="preserve">Each Party pays its own costs, unless a different split is written here: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pPr>
      <w:r>
        <w:rPr>
          <w:b/>
          <w:bCs/>
          <w:rtl w:val="false"/>
        </w:rPr>
        <w:t xml:space="preserve">Option.</w:t>
      </w:r>
      <w:r>
        <w:rPr>
          <w:rtl w:val="false"/>
        </w:rPr>
        <w:t xml:space="preserve">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 after this agreement ends, each Party keeps confidential the non-public information the other shares for this work, and uses it only for that work.</w:t>
      </w:r>
    </w:p>
    <w:p>
      <w:pPr>
        <w:pStyle w:val="Heading1"/>
        <w:bidi w:val="false"/>
      </w:pPr>
      <w:r>
        <w:rPr>
          <w:rtl w:val="false"/>
        </w:rPr>
        <w:t xml:space="preserve">6. Term</w:t>
      </w:r>
    </w:p>
    <w:p>
      <w:pPr>
        <w:bidi w:val="false"/>
      </w:pPr>
      <w:r>
        <w:rPr>
          <w:rtl w:val="false"/>
        </w:rPr>
        <w:t xml:space="preserve">This agreement runs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until </w:t>
      </w:r>
      <w:r>
        <w:rPr>
          <w:highlight w:val="yellow"/>
          <w:rtl w:val="false"/>
        </w:rPr>
        <w:t xml:space="preserve">[</w:t>
      </w:r>
      <w:r>
        <w:rPr>
          <w:highlight w:val="yellow"/>
          <w:rtl w:val="false"/>
        </w:rPr>
        <w:t xml:space="preserve">date or event</w:t>
      </w:r>
      <w:r>
        <w:rPr>
          <w:highlight w:val="yellow"/>
          <w:rtl w:val="false"/>
        </w:rPr>
        <w:t xml:space="preserve">]</w:t>
      </w:r>
      <w:r>
        <w:rPr>
          <w:rtl w:val="false"/>
        </w:rPr>
        <w:t xml:space="preserve">. Either Party may end it by written notice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unless a deliverable already accepted must still be finished.</w:t>
      </w:r>
    </w:p>
    <w:p>
      <w:pPr>
        <w:pStyle w:val="Heading1"/>
        <w:bidi w:val="false"/>
      </w:pPr>
      <w:r>
        <w:rPr>
          <w:rtl w:val="false"/>
        </w:rPr>
        <w:t xml:space="preserve">7. What this agreement is not</w:t>
      </w:r>
    </w:p>
    <w:p>
      <w:pPr>
        <w:bidi w:val="false"/>
        <w:ind w:start="360" w:hanging="0"/>
      </w:pPr>
      <w:r>
        <w:rPr>
          <w:rtl w:val="false"/>
        </w:rPr>
        <w:t xml:space="preserve">(a) It does not incorporate a company. Use the </w:t>
      </w:r>
      <w:hyperlink w:history="1" r:id="rIdciblb2fz_sw1orm7fyqfu">
        <w:r>
          <w:rPr>
            <w:rStyle w:val="Hyperlink"/>
            <w:rtl w:val="false"/>
          </w:rPr>
          <w:t xml:space="preserve">memorandum of association</w:t>
        </w:r>
      </w:hyperlink>
      <w:r>
        <w:rPr>
          <w:rtl w:val="false"/>
        </w:rPr>
        <w:t xml:space="preserve"> or the </w:t>
      </w:r>
      <w:hyperlink w:history="1" r:id="rIdi--oro_owix3bnpseekho">
        <w:r>
          <w:rPr>
            <w:rStyle w:val="Hyperlink"/>
            <w:rtl w:val="false"/>
          </w:rPr>
          <w:t xml:space="preserve">articles of association</w:t>
        </w:r>
      </w:hyperlink>
      <w:r>
        <w:rPr>
          <w:rtl w:val="false"/>
        </w:rPr>
        <w:t xml:space="preserve">.</w:t>
      </w:r>
    </w:p>
    <w:p>
      <w:pPr>
        <w:bidi w:val="false"/>
        <w:ind w:start="360" w:hanging="0"/>
      </w:pPr>
      <w:r>
        <w:rPr>
          <w:rtl w:val="false"/>
        </w:rPr>
        <w:t xml:space="preserve">(b) It does not share profits as partners. Use the </w:t>
      </w:r>
      <w:hyperlink w:history="1" r:id="rIdivdqdet_tejfwktxqbrye">
        <w:r>
          <w:rPr>
            <w:rStyle w:val="Hyperlink"/>
            <w:rtl w:val="false"/>
          </w:rPr>
          <w:t xml:space="preserve">partnership agreement</w:t>
        </w:r>
      </w:hyperlink>
      <w:r>
        <w:rPr>
          <w:rtl w:val="false"/>
        </w:rPr>
        <w:t xml:space="preserve">.</w:t>
      </w:r>
    </w:p>
    <w:p>
      <w:pPr>
        <w:bidi w:val="false"/>
        <w:ind w:start="360" w:hanging="0"/>
      </w:pPr>
      <w:r>
        <w:rPr>
          <w:rtl w:val="false"/>
        </w:rPr>
        <w:t xml:space="preserve">(c) If the text is intent only, with no duty to perform, use the </w:t>
      </w:r>
      <w:hyperlink w:history="1" r:id="rIdndkeyonasc1gsvmnfcgds">
        <w:r>
          <w:rPr>
            <w:rStyle w:val="Hyperlink"/>
            <w:rtl w:val="false"/>
          </w:rPr>
          <w:t xml:space="preserve">memorandum of understanding</w:t>
        </w:r>
      </w:hyperlink>
      <w:r>
        <w:rPr>
          <w:rtl w:val="false"/>
        </w:rPr>
        <w:t xml:space="preserve">.</w:t>
      </w:r>
    </w:p>
    <w:p>
      <w:pPr>
        <w:bidi w:val="false"/>
        <w:ind w:start="360" w:hanging="0"/>
      </w:pPr>
      <w:r>
        <w:rPr>
          <w:rtl w:val="false"/>
        </w:rPr>
        <w:t xml:space="preserve">(d) Capital against an ownership percentage is the </w:t>
      </w:r>
      <w:hyperlink w:history="1" r:id="rIdsgit5gf_axlqrkzm0k5px">
        <w:r>
          <w:rPr>
            <w:rStyle w:val="Hyperlink"/>
            <w:rtl w:val="false"/>
          </w:rPr>
          <w:t xml:space="preserve">investment agreement</w:t>
        </w:r>
      </w:hyperlink>
      <w:r>
        <w:rPr>
          <w:rtl w:val="false"/>
        </w:rPr>
        <w:t xml:space="preserve">.</w:t>
      </w:r>
    </w:p>
    <w:p>
      <w:pPr>
        <w:pStyle w:val="Heading1"/>
        <w:bidi w:val="false"/>
      </w:pPr>
      <w:commentRangeStart w:id="3"/>
      <w:r>
        <w:rPr>
          <w:rtl w:val="false"/>
        </w:rPr>
        <w:t xml:space="preserve">8. Governing law and signatures</w:t>
      </w:r>
      <w:commentRangeEnd w:id="3"/>
      <w:r>
        <w:rPr>
          <w:rtl w:val="false"/>
        </w:rPr>
        <w:commentReference w:id="3"/>
      </w:r>
    </w:p>
    <w:p>
      <w:pPr>
        <w:bidi w:val="false"/>
      </w:pPr>
      <w:r>
        <w:rPr>
          <w:rtl w:val="false"/>
        </w:rPr>
        <w:t xml:space="preserve">Governed by the laws of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A dispute goes to </w:t>
      </w:r>
      <w:r>
        <w:rPr>
          <w:highlight w:val="yellow"/>
          <w:rtl w:val="false"/>
        </w:rPr>
        <w:t xml:space="preserve">[</w:t>
      </w:r>
      <w:r>
        <w:rPr>
          <w:highlight w:val="yellow"/>
          <w:rtl w:val="false"/>
        </w:rPr>
        <w:t xml:space="preserve">the courts of ● / arbitration under ●</w:t>
      </w:r>
      <w:r>
        <w:rPr>
          <w:highlight w:val="yellow"/>
          <w:rtl w:val="false"/>
        </w:rPr>
        <w:t xml:space="preserve">]</w:t>
      </w:r>
      <w:r>
        <w:rPr>
          <w:rtl w:val="false"/>
        </w:rPr>
        <w:t xml:space="preserve">. Arabic and English, with Arabic prevailing in Saudi Arabia.</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A:</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B:</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Civil Transactions Law, Royal Decree No. M/191 of 29/11/1444H.</w:t>
      </w:r>
      <w:r>
        <w:rPr>
          <w:rtl w:val="false"/>
        </w:rPr>
        <w:t xml:space="preserve"> [4][1]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 named statute</w:t>
            </w:r>
          </w:p>
        </w:tc>
        <w:tc>
          <w:tcPr>
            <w:tcMar>
              <w:top w:type="dxa" w:w="80"/>
              <w:left w:type="dxa" w:w="100"/>
              <w:bottom w:type="dxa" w:w="80"/>
              <w:right w:type="dxa" w:w="100"/>
            </w:tcMar>
          </w:tcPr>
          <w:p>
            <w:pPr>
              <w:bidi w:val="false"/>
              <w:spacing w:after="0"/>
            </w:pPr>
            <w:r>
              <w:rPr>
                <w:b w:val="false"/>
                <w:sz w:val="18"/>
                <w:szCs w:val="18"/>
                <w:rtl w:val="false"/>
              </w:rPr>
              <w:t xml:space="preserve">No article is headed “cooperation agreement”. The name of the paper does not decide formation.</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Article 31</w:t>
            </w:r>
          </w:p>
        </w:tc>
        <w:tc>
          <w:tcPr>
            <w:tcMar>
              <w:top w:type="dxa" w:w="80"/>
              <w:left w:type="dxa" w:w="100"/>
              <w:bottom w:type="dxa" w:w="80"/>
              <w:right w:type="dxa" w:w="100"/>
            </w:tcMar>
          </w:tcPr>
          <w:p>
            <w:pPr>
              <w:bidi w:val="false"/>
              <w:spacing w:after="0"/>
            </w:pPr>
            <w:r>
              <w:rPr>
                <w:b w:val="false"/>
                <w:sz w:val="18"/>
                <w:szCs w:val="18"/>
                <w:rtl w:val="false"/>
              </w:rPr>
              <w:t xml:space="preserve">A contract comes into being when offer and acceptance join to produce a legal effect.</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Article 42</w:t>
            </w:r>
          </w:p>
        </w:tc>
        <w:tc>
          <w:tcPr>
            <w:tcMar>
              <w:top w:type="dxa" w:w="80"/>
              <w:left w:type="dxa" w:w="100"/>
              <w:bottom w:type="dxa" w:w="80"/>
              <w:right w:type="dxa" w:w="100"/>
            </w:tcMar>
          </w:tcPr>
          <w:p>
            <w:pPr>
              <w:bidi w:val="false"/>
              <w:spacing w:after="0"/>
            </w:pPr>
            <w:r>
              <w:rPr>
                <w:b w:val="false"/>
                <w:sz w:val="18"/>
                <w:szCs w:val="18"/>
                <w:rtl w:val="false"/>
              </w:rPr>
              <w:t xml:space="preserve">Agreement on the essential terms is enough unless the parties tied formation to a later agreement on the rest.</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Article 43</w:t>
            </w:r>
          </w:p>
        </w:tc>
        <w:tc>
          <w:tcPr>
            <w:tcMar>
              <w:top w:type="dxa" w:w="80"/>
              <w:left w:type="dxa" w:w="100"/>
              <w:bottom w:type="dxa" w:w="80"/>
              <w:right w:type="dxa" w:w="100"/>
            </w:tcMar>
          </w:tcPr>
          <w:p>
            <w:pPr>
              <w:bidi w:val="false"/>
              <w:spacing w:after="0"/>
            </w:pPr>
            <w:r>
              <w:rPr>
                <w:b w:val="false"/>
                <w:sz w:val="18"/>
                <w:szCs w:val="18"/>
                <w:rtl w:val="false"/>
              </w:rPr>
              <w:t xml:space="preserve">A promise to contract binds only if the essential terms and the period are set.</w:t>
            </w:r>
            <w:r>
              <w:rPr>
                <w:b w:val="false"/>
                <w:sz w:val="18"/>
                <w:szCs w:val="18"/>
                <w:rtl w:val="false"/>
              </w:rPr>
              <w:t xml:space="preserve"> [4]</w:t>
            </w:r>
          </w:p>
        </w:tc>
      </w:tr>
    </w:tbl>
    <w:p>
      <w:pPr>
        <w:bidi w:val="false"/>
      </w:pPr>
    </w:p>
    <w:p>
      <w:pPr>
        <w:pStyle w:val="Heading1"/>
        <w:pageBreakBefore/>
        <w:bidi w:val="false"/>
      </w:pPr>
      <w:r>
        <w:rPr>
          <w:rtl w:val="false"/>
        </w:rPr>
        <w:t xml:space="preserve">UAE notes</w:t>
      </w:r>
    </w:p>
    <w:p>
      <w:pPr>
        <w:bidi w:val="false"/>
      </w:pPr>
      <w:r>
        <w:rPr>
          <w:rtl w:val="false"/>
        </w:rPr>
        <w:t xml:space="preserve">Formation articles are under review.</w:t>
      </w:r>
      <w:r>
        <w:rPr>
          <w:rtl w:val="false"/>
        </w:rPr>
        <w:t xml:space="preserve"> [2][3]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statute</w:t>
            </w:r>
          </w:p>
        </w:tc>
        <w:tc>
          <w:tcPr>
            <w:tcMar>
              <w:top w:type="dxa" w:w="80"/>
              <w:left w:type="dxa" w:w="100"/>
              <w:bottom w:type="dxa" w:w="80"/>
              <w:right w:type="dxa" w:w="100"/>
            </w:tcMar>
          </w:tcPr>
          <w:p>
            <w:pPr>
              <w:bidi w:val="false"/>
              <w:spacing w:after="0"/>
            </w:pPr>
            <w:r>
              <w:rPr>
                <w:b w:val="false"/>
                <w:sz w:val="18"/>
                <w:szCs w:val="18"/>
                <w:rtl w:val="false"/>
              </w:rPr>
              <w:t xml:space="preserve">The Civil Transactions Law is Federal Decree-Law No. 25 of 2025, in force 1 June 2026.</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Formation articles</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is stated.</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 company</w:t>
            </w:r>
          </w:p>
        </w:tc>
        <w:tc>
          <w:tcPr>
            <w:tcMar>
              <w:top w:type="dxa" w:w="80"/>
              <w:left w:type="dxa" w:w="100"/>
              <w:bottom w:type="dxa" w:w="80"/>
              <w:right w:type="dxa" w:w="100"/>
            </w:tcMar>
          </w:tcPr>
          <w:p>
            <w:pPr>
              <w:bidi w:val="false"/>
              <w:spacing w:after="0"/>
            </w:pPr>
            <w:r>
              <w:rPr>
                <w:b w:val="false"/>
                <w:sz w:val="18"/>
                <w:szCs w:val="18"/>
                <w:rtl w:val="false"/>
              </w:rPr>
              <w:t xml:space="preserve">Federal Decree-Law No. 32 of 2021. This paper does not incorporate one.</w:t>
            </w:r>
            <w:r>
              <w:rPr>
                <w:b w:val="false"/>
                <w:sz w:val="18"/>
                <w:szCs w:val="18"/>
                <w:rtl w:val="false"/>
              </w:rPr>
              <w:t xml:space="preserve"> [8]</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7u4bf2qmgunpyacb8kt3t">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https://www.qanu.ai/en/templates/cooperation-agreement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Ministry of Justice legal portal, Civil Transactions Law (Royal Decree No. M/191 of 29/11/1444H) </w:t>
      </w:r>
      <w:hyperlink w:history="1" r:id="rIdrw9r0csmtgp2ae5jsslva">
        <w:r>
          <w:rPr>
            <w:rStyle w:val="Hyperlink"/>
            <w:sz w:val="16"/>
            <w:szCs w:val="16"/>
          </w:rPr>
          <w:t xml:space="preserve">https://laws.moj.gov.sa/ar/legislation/PBbHmywh1XMp-Kyv3NtQLg</w:t>
        </w:r>
      </w:hyperlink>
    </w:p>
    <w:p>
      <w:pPr>
        <w:bidi w:val="false"/>
        <w:ind w:start="360" w:hanging="360"/>
      </w:pPr>
      <w:r>
        <w:rPr>
          <w:sz w:val="18"/>
          <w:szCs w:val="18"/>
          <w:rtl w:val="false"/>
        </w:rPr>
        <w:t xml:space="preserve">[2] UAE Legislation, Federal Decree-Law No. 25 of 2025 (Civil Transactions Law) </w:t>
      </w:r>
      <w:hyperlink w:history="1" r:id="rIdrd3u5nlhl7zitxuk1uzsw">
        <w:r>
          <w:rPr>
            <w:rStyle w:val="Hyperlink"/>
            <w:sz w:val="16"/>
            <w:szCs w:val="16"/>
          </w:rPr>
          <w:t xml:space="preserve">https://uaelegislation.gov.ae/en/legislations/4011</w:t>
        </w:r>
      </w:hyperlink>
    </w:p>
    <w:p>
      <w:pPr>
        <w:bidi w:val="false"/>
        <w:ind w:start="360" w:hanging="360"/>
      </w:pPr>
      <w:r>
        <w:rPr>
          <w:sz w:val="18"/>
          <w:szCs w:val="18"/>
          <w:rtl w:val="false"/>
        </w:rPr>
        <w:t xml:space="preserve">[3] UAE Government portal (u.ae), Where to find the UAE's federal laws </w:t>
      </w:r>
      <w:hyperlink w:history="1" r:id="rId-b1qe7x3cjenkmrs7m9ct">
        <w:r>
          <w:rPr>
            <w:rStyle w:val="Hyperlink"/>
            <w:sz w:val="16"/>
            <w:szCs w:val="16"/>
          </w:rPr>
          <w:t xml:space="preserve">https://u.ae/en/information-and-services/justice-safety-and-the-law/Law/how-are-uae-laws-issued-and-how-to-find-them/where-to-find-uae-federal-laws</w:t>
        </w:r>
      </w:hyperlink>
    </w:p>
    <w:p>
      <w:pPr>
        <w:bidi w:val="false"/>
        <w:ind w:start="360" w:hanging="360"/>
      </w:pPr>
      <w:r>
        <w:rPr>
          <w:sz w:val="18"/>
          <w:szCs w:val="18"/>
          <w:rtl w:val="false"/>
        </w:rPr>
        <w:t xml:space="preserve">[4] Bureau of Experts, Civil Transactions Law (Royal Decree No. M/191 of 29/11/1444H) </w:t>
      </w:r>
      <w:hyperlink w:history="1" r:id="rIdaobp2llkkq6ryxppsc4am">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[5] Saudi Data and AI Authority (SDAIA), Personal Data Protection Law portal </w:t>
      </w:r>
      <w:hyperlink w:history="1" r:id="rIdd6zhhm95npqd3gv5emld9">
        <w:r>
          <w:rPr>
            <w:rStyle w:val="Hyperlink"/>
            <w:sz w:val="16"/>
            <w:szCs w:val="16"/>
          </w:rPr>
          <w:t xml:space="preserve">https://dgp.sdaia.gov.sa/wps/portal/pdp/home</w:t>
        </w:r>
      </w:hyperlink>
    </w:p>
    <w:p>
      <w:pPr>
        <w:bidi w:val="false"/>
        <w:ind w:start="360" w:hanging="360"/>
      </w:pPr>
      <w:r>
        <w:rPr>
          <w:sz w:val="18"/>
          <w:szCs w:val="18"/>
          <w:rtl w:val="false"/>
        </w:rPr>
        <w:t xml:space="preserve">[6] UAE Government portal (u.ae), Data protection laws </w:t>
      </w:r>
      <w:hyperlink w:history="1" r:id="rIde6mqj91abqzx7mbiiap5e">
        <w:r>
          <w:rPr>
            <w:rStyle w:val="Hyperlink"/>
            <w:sz w:val="16"/>
            <w:szCs w:val="16"/>
          </w:rPr>
          <w:t xml:space="preserve">https://u.ae/en/about-the-uae/digital-uae/data/data-protection-laws</w:t>
        </w:r>
      </w:hyperlink>
    </w:p>
    <w:p>
      <w:pPr>
        <w:bidi w:val="false"/>
        <w:ind w:start="360" w:hanging="360"/>
      </w:pPr>
      <w:r>
        <w:rPr>
          <w:sz w:val="18"/>
          <w:szCs w:val="18"/>
          <w:rtl w:val="false"/>
        </w:rPr>
        <w:t xml:space="preserve">[7] Companies Law, Royal Decree No. M/132 dated 1/12/1443H (30 June 2022) </w:t>
      </w:r>
      <w:hyperlink w:history="1" r:id="rIdjx8qerzoxgajprwcaskpx">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[8] UAE Government portal (u.ae), Commercial Companies Law (Federal Decree-Law No. 32 of 2021) </w:t>
      </w:r>
      <w:hyperlink w:history="1" r:id="rIduivrv96_xtrgkc1v5ygku">
        <w:r>
          <w:rPr>
            <w:rStyle w:val="Hyperlink"/>
            <w:sz w:val="16"/>
            <w:szCs w:val="16"/>
          </w:rPr>
          <w:t xml:space="preserve">https://u.ae/en/information-and-services/business/Doing-business/doing-business-on-the-mainland/full-foreign-ownership-of-commercial-companies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Use the name on the ID or in the </w:t>
      </w:r>
      <w:hyperlink w:history="1" r:id="rId5ylwxh4jikd3mlriuy1zg">
        <w:r>
          <w:rPr>
            <w:rStyle w:val="Hyperlink"/>
            <w:rtl w:val="false"/>
          </w:rPr>
          <w:t xml:space="preserve">commercial register</w:t>
        </w:r>
      </w:hyperlink>
      <w:r>
        <w:rPr>
          <w:rtl w:val="false"/>
        </w:rPr>
        <w:t xml:space="preserve">.</w:t>
      </w:r>
    </w:p>
  </w:comment>
  <w:comment w:id="1" w:initials="Q" w:author="Qanu" w:date="2026-10-29T00:00:00.000Z">
    <w:p>
      <w:pPr>
        <w:bidi w:val="false"/>
      </w:pPr>
      <w:r>
        <w:rPr>
          <w:b/>
          <w:bCs/>
          <w:rtl w:val="false"/>
        </w:rPr>
        <w:t xml:space="preserve">Drafting note</w:t>
      </w:r>
    </w:p>
    <w:p>
      <w:pPr>
        <w:bidi w:val="false"/>
      </w:pPr>
      <w:r>
        <w:rPr>
          <w:rtl w:val="false"/>
        </w:rPr>
        <w:t xml:space="preserve">A company is created by incorporation and registration, not by this paper.</w:t>
      </w:r>
      <w:r>
        <w:rPr>
          <w:rtl w:val="false"/>
        </w:rPr>
        <w:t xml:space="preserve"> [7][8]</w:t>
      </w:r>
      <w:r>
        <w:rPr>
          <w:rtl w:val="false"/>
        </w:rPr>
        <w:t xml:space="preserve"> For a profit-share use the </w:t>
      </w:r>
      <w:hyperlink w:history="1" r:id="rIdeggpg7nsscavrh39raqoh">
        <w:r>
          <w:rPr>
            <w:rStyle w:val="Hyperlink"/>
            <w:rtl w:val="false"/>
          </w:rPr>
          <w:t xml:space="preserve">partnership agreement</w:t>
        </w:r>
      </w:hyperlink>
      <w:r>
        <w:rPr>
          <w:rtl w:val="false"/>
        </w:rPr>
        <w:t xml:space="preserve">. For intent before a contract use the </w:t>
      </w:r>
      <w:hyperlink w:history="1" r:id="rIdnge7dbrmoi3nycbj7yspt">
        <w:r>
          <w:rPr>
            <w:rStyle w:val="Hyperlink"/>
            <w:rtl w:val="false"/>
          </w:rPr>
          <w:t xml:space="preserve">memorandum of understanding</w:t>
        </w:r>
      </w:hyperlink>
      <w:r>
        <w:rPr>
          <w:rtl w:val="false"/>
        </w:rPr>
        <w:t xml:space="preserve">.</w:t>
      </w:r>
    </w:p>
  </w:comment>
  <w:comment w:id="2" w:initials="Q" w:author="Qanu" w:date="2026-10-29T00:00:00.000Z">
    <w:p>
      <w:pPr>
        <w:bidi w:val="false"/>
      </w:pPr>
      <w:r>
        <w:rPr>
          <w:b/>
          <w:bCs/>
          <w:rtl w:val="false"/>
        </w:rPr>
        <w:t xml:space="preserve">Drafting note</w:t>
      </w:r>
    </w:p>
    <w:p>
      <w:pPr>
        <w:bidi w:val="false"/>
      </w:pPr>
      <w:r>
        <w:rPr>
          <w:rtl w:val="false"/>
        </w:rPr>
        <w:t xml:space="preserve">If the information is personal data, the Saudi PDPL or the UAE PDPL may apply. This clause does not restate them.</w:t>
      </w:r>
      <w:r>
        <w:rPr>
          <w:rtl w:val="false"/>
        </w:rPr>
        <w:t xml:space="preserve"> [5][6]</w:t>
      </w:r>
    </w:p>
  </w:comment>
  <w:comment w:id="3" w:initials="Q" w:author="Qanu" w:date="2026-10-29T00:00:00.000Z">
    <w:p>
      <w:pPr>
        <w:bidi w:val="false"/>
      </w:pPr>
      <w:r>
        <w:rPr>
          <w:b/>
          <w:bCs/>
          <w:rtl w:val="false"/>
        </w:rPr>
        <w:t xml:space="preserve">Drafting note</w:t>
      </w:r>
    </w:p>
    <w:p>
      <w:pPr>
        <w:bidi w:val="false"/>
      </w:pPr>
      <w:r>
        <w:rPr>
          <w:rtl w:val="false"/>
        </w:rPr>
        <w:t xml:space="preserve">This is a starting point. Have it reviewed by a lawyer licensed in the relevant jurisdiction before you use 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https://www.qanu.ai/en/templates/cooperation-agreement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https://www.qanu.ai/en/templates/cooperation-agreement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5ylwxh4jikd3mlriuy1zg" Type="http://schemas.openxmlformats.org/officeDocument/2006/relationships/hyperlink" Target="https://www.qanu.ai/en/glossary/commercial-registration" TargetMode="External"/><Relationship Id="rIdeggpg7nsscavrh39raqoh" Type="http://schemas.openxmlformats.org/officeDocument/2006/relationships/hyperlink" Target="https://www.qanu.ai/en/templates/partnership-agreement" TargetMode="External"/><Relationship Id="rIdnge7dbrmoi3nycbj7yspt" Type="http://schemas.openxmlformats.org/officeDocument/2006/relationships/hyperlink" Target="https://www.qanu.ai/en/templates/memorandum-of-understanding"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nrbvhfgznuuxa4x7rjxgi" Type="http://schemas.openxmlformats.org/officeDocument/2006/relationships/hyperlink" Target="https://laws.boe.gov.sa/BoeLaws/Laws/LawDetails/655fdb42-8c96-422b-b8c4-b04f0095c94c/1" TargetMode="External"/><Relationship Id="rIdchrf1refcvqmxrwwywtp7" Type="http://schemas.openxmlformats.org/officeDocument/2006/relationships/hyperlink" Target="https://laws.moj.gov.sa/ar/legislation/PBbHmywh1XMp-Kyv3NtQLg" TargetMode="External"/><Relationship Id="rIdmzv1hzeawdxbtosmdbmdo" Type="http://schemas.openxmlformats.org/officeDocument/2006/relationships/hyperlink" Target="https://u.ae/en/information-and-services/justice-safety-and-the-law/Law/how-are-uae-laws-issued-and-how-to-find-them/where-to-find-uae-federal-laws" TargetMode="External"/><Relationship Id="rIdciblb2fz_sw1orm7fyqfu" Type="http://schemas.openxmlformats.org/officeDocument/2006/relationships/hyperlink" Target="https://www.qanu.ai/en/templates/memorandum-of-association" TargetMode="External"/><Relationship Id="rIdi--oro_owix3bnpseekho" Type="http://schemas.openxmlformats.org/officeDocument/2006/relationships/hyperlink" Target="https://www.qanu.ai/en/templates/articles-of-association" TargetMode="External"/><Relationship Id="rIdivdqdet_tejfwktxqbrye" Type="http://schemas.openxmlformats.org/officeDocument/2006/relationships/hyperlink" Target="https://www.qanu.ai/en/templates/partnership-agreement" TargetMode="External"/><Relationship Id="rIdndkeyonasc1gsvmnfcgds" Type="http://schemas.openxmlformats.org/officeDocument/2006/relationships/hyperlink" Target="https://www.qanu.ai/en/templates/memorandum-of-understanding" TargetMode="External"/><Relationship Id="rIdsgit5gf_axlqrkzm0k5px" Type="http://schemas.openxmlformats.org/officeDocument/2006/relationships/hyperlink" Target="https://www.qanu.ai/en/templates/investment-agreement" TargetMode="External"/><Relationship Id="rId7u4bf2qmgunpyacb8kt3t" Type="http://schemas.openxmlformats.org/officeDocument/2006/relationships/hyperlink" Target="https://creativecommons.org/licenses/by/4.0/deed.en" TargetMode="External"/><Relationship Id="rIdrw9r0csmtgp2ae5jsslva" Type="http://schemas.openxmlformats.org/officeDocument/2006/relationships/hyperlink" Target="https://laws.moj.gov.sa/ar/legislation/PBbHmywh1XMp-Kyv3NtQLg" TargetMode="External"/><Relationship Id="rIdrd3u5nlhl7zitxuk1uzsw" Type="http://schemas.openxmlformats.org/officeDocument/2006/relationships/hyperlink" Target="https://uaelegislation.gov.ae/en/legislations/4011" TargetMode="External"/><Relationship Id="rId-b1qe7x3cjenkmrs7m9ct" Type="http://schemas.openxmlformats.org/officeDocument/2006/relationships/hyperlink" Target="https://u.ae/en/information-and-services/justice-safety-and-the-law/Law/how-are-uae-laws-issued-and-how-to-find-them/where-to-find-uae-federal-laws" TargetMode="External"/><Relationship Id="rIdaobp2llkkq6ryxppsc4am" Type="http://schemas.openxmlformats.org/officeDocument/2006/relationships/hyperlink" Target="https://laws.boe.gov.sa/BoeLaws/Laws/LawDetails/655fdb42-8c96-422b-b8c4-b04f0095c94c/1" TargetMode="External"/><Relationship Id="rIdd6zhhm95npqd3gv5emld9" Type="http://schemas.openxmlformats.org/officeDocument/2006/relationships/hyperlink" Target="https://dgp.sdaia.gov.sa/wps/portal/pdp/home" TargetMode="External"/><Relationship Id="rIde6mqj91abqzx7mbiiap5e" Type="http://schemas.openxmlformats.org/officeDocument/2006/relationships/hyperlink" Target="https://u.ae/en/about-the-uae/digital-uae/data/data-protection-laws" TargetMode="External"/><Relationship Id="rIdjx8qerzoxgajprwcaskpx" Type="http://schemas.openxmlformats.org/officeDocument/2006/relationships/hyperlink" Target="https://laws.boe.gov.sa/BoeLaws/Laws/LawDetails/a8376aea-1bc3-49d4-9027-aed900b555af/1" TargetMode="External"/><Relationship Id="rIduivrv96_xtrgkc1v5ygku" Type="http://schemas.openxmlformats.org/officeDocument/2006/relationships/hyperlink" Target="https://u.ae/en/information-and-services/business/Doing-business/doing-business-on-the-mainland/full-foreign-ownership-of-commercial-companies"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agreement (Word &amp; PDF)</dc:title>
  <dc:creator>Qanu</dc:creator>
  <cp:keywords>Cooperation agreement, اتفاقية تعاون, Civil Transactions Law,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2026-10-29T11:28:02.621Z</dcterms:created>
  <dcterms:modified xsi:type="dcterms:W3CDTF">2026-10-29T11:28:02.621Z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https://www.qanu.ai/en/templates/cooperation-agreement</vt:lpwstr>
  </property>
</Properties>
</file>