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11111" w:sz="12" w:space="6"/>
          <w:left w:val="single" w:color="111111" w:sz="12" w:space="6"/>
          <w:bottom w:val="single" w:color="111111" w:sz="12" w:space="6"/>
          <w:right w:val="single" w:color="111111" w:sz="12" w:space="6"/>
        </w:pBdr>
        <w:shd w:fill="FFF4D6" w:color="auto" w:val="clear"/>
        <w:bidi/>
      </w:pPr>
      <w:r>
        <w:rPr>
          <w:b/>
          <w:bCs/>
          <w:rtl/>
        </w:rPr>
        <w:t xml:space="preserve">في السعودية الإقرار غير الموثق يحتاج دعوى. والتوثيق وفق نظام التوثيق هو الذي يجعله سنداً تنفيذياً بعد نفاذ النظام الجديد.</w:t>
      </w:r>
      <w:r>
        <w:rPr>
          <w:rtl/>
        </w:rPr>
        <w:t xml:space="preserve"> يفرّق نظام الإثبات بين الإقرار القضائي وغير القضائي، ويجوز أن يكون الإقرار مكتوباً، والإقرار القضائي حجة قاطعة على المقرّ، والمقرّ ملزم بإقراره ولا يملك الرجوع عنه.</w:t>
      </w:r>
      <w:r>
        <w:rPr>
          <w:rtl/>
        </w:rPr>
        <w:t xml:space="preserve"> [1]</w:t>
      </w:r>
      <w:r>
        <w:rPr>
          <w:rtl/>
        </w:rPr>
        <w:t xml:space="preserve"> ونظام التنفيذ الصادر بالمرسوم الملكي رقم (م/237) وتاريخ 3/11/1447هـ صدر في 20 أبريل 2026 ونُشر في 1 مايو 2026، ويُعمل به بعد مئة وثمانين يوماً من النشر، ويحل محل نظام عام 1433هـ. والعقود والإقرارات الموثقة وفق نظام التوثيق سندات تنفيذية. وهذه الصفحة لا تسمّي يوم تمام المدة.</w:t>
      </w:r>
      <w:r>
        <w:rPr>
          <w:rtl/>
        </w:rPr>
        <w:t xml:space="preserve"> [2]</w:t>
      </w:r>
      <w:r>
        <w:rPr>
          <w:rtl/>
        </w:rPr>
        <w:t xml:space="preserve"> وفي الإمارات تسرد المادة (212) من المرسوم بقانون رقم (42) لسنة 2022 السندات التنفيذية، ودخول الإقرار الموثق في القائمة قيد المراجعة.</w:t>
      </w:r>
      <w:r>
        <w:rPr>
          <w:rtl/>
        </w:rPr>
        <w:t xml:space="preserve"> [3]</w:t>
      </w:r>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نظام الإثبات: </w:t>
      </w:r>
      <w:hyperlink w:history="1" r:id="rIdlacfecebifcsoeez5fbtz">
        <w:r>
          <w:rPr>
            <w:rStyle w:val="Hyperlink"/>
            <w:sz w:val="17"/>
            <w:szCs w:val="17"/>
          </w:rPr>
          <w:t xml:space="preserve">‪https://laws.boe.gov.sa/BoeLaws/Laws/LawDetails/2716057c-c097-4bad-8e1e-ae1400c678d5/1‬</w:t>
        </w:r>
      </w:hyperlink>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نظام التنفيذ: </w:t>
      </w:r>
      <w:hyperlink w:history="1" r:id="rIdde6it2ggukny7rswhmrqm">
        <w:r>
          <w:rPr>
            <w:rStyle w:val="Hyperlink"/>
            <w:sz w:val="17"/>
            <w:szCs w:val="17"/>
          </w:rPr>
          <w:t xml:space="preserve">‪https://laws.boe.gov.sa/BoeLaws/Laws/LawDetails/67dd54bc-c33a-48c8-8356-b44700a9ab55/1‬</w:t>
        </w:r>
      </w:hyperlink>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الإقرار بسداد دين: </w:t>
      </w:r>
      <w:hyperlink w:history="1" r:id="rIdovyjsqb9qu3f9rgk7tuhf">
        <w:r>
          <w:rPr>
            <w:rStyle w:val="Hyperlink"/>
            <w:sz w:val="17"/>
            <w:szCs w:val="17"/>
          </w:rPr>
          <w:t xml:space="preserve">‪https://my.gov.sa/en/services/19814‬</w:t>
        </w:r>
      </w:hyperlink>
    </w:p>
    <w:p>
      <w:pPr>
        <w:bidi/>
        <w:spacing w:after="240"/>
      </w:pPr>
    </w:p>
    <w:p>
      <w:pPr>
        <w:pStyle w:val="Title"/>
        <w:bidi/>
      </w:pPr>
      <w:r>
        <w:rPr>
          <w:rtl/>
        </w:rPr>
        <w:t xml:space="preserve">إقرار دين وتعهد بالسداد</w:t>
      </w:r>
    </w:p>
    <w:p>
      <w:pPr>
        <w:bidi/>
        <w:spacing w:after="240"/>
      </w:pPr>
      <w:r>
        <w:rPr>
          <w:color w:val="444444"/>
          <w:rtl/>
        </w:rPr>
        <w:t xml:space="preserve">إقرار بمديونية وتعهد بسدادها في دول الخليج. استبدلوا كل </w:t>
      </w:r>
      <w:r>
        <w:rPr>
          <w:color w:val="444444"/>
          <w:highlight w:val="yellow"/>
          <w:rtl/>
        </w:rPr>
        <w:t xml:space="preserve">[</w:t>
      </w:r>
      <w:r>
        <w:rPr>
          <w:color w:val="444444"/>
          <w:highlight w:val="yellow"/>
          <w:rtl/>
        </w:rPr>
        <w:t xml:space="preserve">عبارة بين معقوفين</w:t>
      </w:r>
      <w:r>
        <w:rPr>
          <w:color w:val="444444"/>
          <w:highlight w:val="yellow"/>
          <w:rtl/>
        </w:rPr>
        <w:t xml:space="preserve">]</w:t>
      </w:r>
      <w:r>
        <w:rPr>
          <w:color w:val="444444"/>
          <w:rtl/>
        </w:rPr>
        <w:t xml:space="preserve">. هذا الخطاب ليس سنداً لأمر صادراً من نافذ، وتوثيقه أو رفع دعوى به إجراء لاحق. هذه نقطة انطلاق، وتُراجع من محامٍ مرخّص في الدولة المعنية قبل الاستعمال.</w:t>
      </w:r>
    </w:p>
    <w:p>
      <w:pPr>
        <w:pStyle w:val="Heading1"/>
        <w:bidi/>
      </w:pPr>
      <w:commentRangeStart w:id="0"/>
      <w:r>
        <w:rPr>
          <w:rtl/>
        </w:rPr>
        <w:t xml:space="preserve">البند (1): الطرفان</w:t>
      </w:r>
      <w:commentRangeEnd w:id="0"/>
      <w:r>
        <w:rPr>
          <w:rtl/>
        </w:rPr>
        <w:commentReference w:id="0"/>
      </w:r>
    </w:p>
    <w:p>
      <w:pPr>
        <w:bidi/>
      </w:pPr>
      <w:r>
        <w:rPr>
          <w:rtl/>
        </w:rPr>
        <w:t xml:space="preserve">أقرّ أنا </w:t>
      </w:r>
      <w:r>
        <w:rPr>
          <w:highlight w:val="yellow"/>
          <w:rtl/>
        </w:rPr>
        <w:t xml:space="preserve">[</w:t>
      </w:r>
      <w:r>
        <w:rPr>
          <w:highlight w:val="yellow"/>
          <w:rtl/>
        </w:rPr>
        <w:t xml:space="preserve">اسم المدين</w:t>
      </w:r>
      <w:r>
        <w:rPr>
          <w:highlight w:val="yellow"/>
          <w:rtl/>
        </w:rPr>
        <w:t xml:space="preserve">]</w:t>
      </w:r>
      <w:r>
        <w:rPr>
          <w:rtl/>
        </w:rPr>
        <w:t xml:space="preserve">، هوية/سجل تجاري </w:t>
      </w:r>
      <w:r>
        <w:rPr>
          <w:highlight w:val="yellow"/>
          <w:rtl/>
        </w:rPr>
        <w:t xml:space="preserve">[</w:t>
      </w:r>
      <w:r>
        <w:rPr>
          <w:highlight w:val="yellow"/>
          <w:rtl/>
        </w:rPr>
        <w:t xml:space="preserve">●</w:t>
      </w:r>
      <w:r>
        <w:rPr>
          <w:highlight w:val="yellow"/>
          <w:rtl/>
        </w:rPr>
        <w:t xml:space="preserve">]</w:t>
      </w:r>
      <w:r>
        <w:rPr>
          <w:rtl/>
        </w:rPr>
        <w:t xml:space="preserve">، وعنواني </w:t>
      </w:r>
      <w:r>
        <w:rPr>
          <w:highlight w:val="yellow"/>
          <w:rtl/>
        </w:rPr>
        <w:t xml:space="preserve">[</w:t>
      </w:r>
      <w:r>
        <w:rPr>
          <w:highlight w:val="yellow"/>
          <w:rtl/>
        </w:rPr>
        <w:t xml:space="preserve">●</w:t>
      </w:r>
      <w:r>
        <w:rPr>
          <w:highlight w:val="yellow"/>
          <w:rtl/>
        </w:rPr>
        <w:t xml:space="preserve">]</w:t>
      </w:r>
      <w:r>
        <w:rPr>
          <w:rtl/>
        </w:rPr>
        <w:t xml:space="preserve"> («المدين»)، بأن في ذمتي ديناً لـ</w:t>
      </w:r>
      <w:r>
        <w:rPr>
          <w:highlight w:val="yellow"/>
          <w:rtl/>
        </w:rPr>
        <w:t xml:space="preserve">[</w:t>
      </w:r>
      <w:r>
        <w:rPr>
          <w:highlight w:val="yellow"/>
          <w:rtl/>
        </w:rPr>
        <w:t xml:space="preserve">اسم الدائن</w:t>
      </w:r>
      <w:r>
        <w:rPr>
          <w:highlight w:val="yellow"/>
          <w:rtl/>
        </w:rPr>
        <w:t xml:space="preserve">]</w:t>
      </w:r>
      <w:r>
        <w:rPr>
          <w:rtl/>
        </w:rPr>
        <w:t xml:space="preserve">، هوية/سجل تجاري </w:t>
      </w:r>
      <w:r>
        <w:rPr>
          <w:highlight w:val="yellow"/>
          <w:rtl/>
        </w:rPr>
        <w:t xml:space="preserve">[</w:t>
      </w:r>
      <w:r>
        <w:rPr>
          <w:highlight w:val="yellow"/>
          <w:rtl/>
        </w:rPr>
        <w:t xml:space="preserve">●</w:t>
      </w:r>
      <w:r>
        <w:rPr>
          <w:highlight w:val="yellow"/>
          <w:rtl/>
        </w:rPr>
        <w:t xml:space="preserve">]</w:t>
      </w:r>
      <w:r>
        <w:rPr>
          <w:rtl/>
        </w:rPr>
        <w:t xml:space="preserve">، وعنوانه </w:t>
      </w:r>
      <w:r>
        <w:rPr>
          <w:highlight w:val="yellow"/>
          <w:rtl/>
        </w:rPr>
        <w:t xml:space="preserve">[</w:t>
      </w:r>
      <w:r>
        <w:rPr>
          <w:highlight w:val="yellow"/>
          <w:rtl/>
        </w:rPr>
        <w:t xml:space="preserve">●</w:t>
      </w:r>
      <w:r>
        <w:rPr>
          <w:highlight w:val="yellow"/>
          <w:rtl/>
        </w:rPr>
        <w:t xml:space="preserve">]</w:t>
      </w:r>
      <w:r>
        <w:rPr>
          <w:rtl/>
        </w:rPr>
        <w:t xml:space="preserve"> («الدائن»).</w:t>
      </w:r>
    </w:p>
    <w:p>
      <w:pPr>
        <w:pStyle w:val="Heading1"/>
        <w:bidi/>
      </w:pPr>
      <w:commentRangeStart w:id="1"/>
      <w:r>
        <w:rPr>
          <w:rtl/>
        </w:rPr>
        <w:t xml:space="preserve">البند (2): المبلغ رقماً وكتابة</w:t>
      </w:r>
      <w:commentRangeEnd w:id="1"/>
      <w:r>
        <w:rPr>
          <w:rtl/>
        </w:rPr>
        <w:commentReference w:id="1"/>
      </w:r>
    </w:p>
    <w:p>
      <w:pPr>
        <w:bidi/>
      </w:pPr>
      <w:r>
        <w:rPr>
          <w:rtl/>
        </w:rPr>
        <w:t xml:space="preserve">مقدار الدين </w:t>
      </w:r>
      <w:r>
        <w:rPr>
          <w:highlight w:val="yellow"/>
          <w:rtl/>
        </w:rPr>
        <w:t xml:space="preserve">[</w:t>
      </w:r>
      <w:r>
        <w:rPr>
          <w:highlight w:val="yellow"/>
          <w:rtl/>
        </w:rPr>
        <w:t xml:space="preserve">المبلغ رقماً</w:t>
      </w:r>
      <w:r>
        <w:rPr>
          <w:highlight w:val="yellow"/>
          <w:rtl/>
        </w:rPr>
        <w:t xml:space="preserve">]</w:t>
      </w:r>
      <w:r>
        <w:rPr>
          <w:rtl/>
        </w:rPr>
        <w:t xml:space="preserve"> </w:t>
      </w:r>
      <w:r>
        <w:rPr>
          <w:highlight w:val="yellow"/>
          <w:rtl/>
        </w:rPr>
        <w:t xml:space="preserve">[</w:t>
      </w:r>
      <w:r>
        <w:rPr>
          <w:highlight w:val="yellow"/>
          <w:rtl/>
        </w:rPr>
        <w:t xml:space="preserve">العملة</w:t>
      </w:r>
      <w:r>
        <w:rPr>
          <w:highlight w:val="yellow"/>
          <w:rtl/>
        </w:rPr>
        <w:t xml:space="preserve">]</w:t>
      </w:r>
      <w:r>
        <w:rPr>
          <w:rtl/>
        </w:rPr>
        <w:t xml:space="preserve">، وكتابةً: </w:t>
      </w:r>
      <w:r>
        <w:rPr>
          <w:highlight w:val="yellow"/>
          <w:rtl/>
        </w:rPr>
        <w:t xml:space="preserve">[</w:t>
      </w:r>
      <w:r>
        <w:rPr>
          <w:highlight w:val="yellow"/>
          <w:rtl/>
        </w:rPr>
        <w:t xml:space="preserve">المبلغ كتابةً</w:t>
      </w:r>
      <w:r>
        <w:rPr>
          <w:highlight w:val="yellow"/>
          <w:rtl/>
        </w:rPr>
        <w:t xml:space="preserve">]</w:t>
      </w:r>
      <w:r>
        <w:rPr>
          <w:rtl/>
        </w:rPr>
        <w:t xml:space="preserve">. والكتابة هي المعتمدة إذا اختلفت مع الرقم. ولا يدخل في هذا المبلغ ما لم يُسمَّ هنا: </w:t>
      </w:r>
      <w:r>
        <w:rPr>
          <w:highlight w:val="yellow"/>
          <w:rtl/>
        </w:rPr>
        <w:t xml:space="preserve">[</w:t>
      </w:r>
      <w:r>
        <w:rPr>
          <w:highlight w:val="yellow"/>
          <w:rtl/>
        </w:rPr>
        <w:t xml:space="preserve">فائدة / غرامة / مصاريف، أو «لا شيء»</w:t>
      </w:r>
      <w:r>
        <w:rPr>
          <w:highlight w:val="yellow"/>
          <w:rtl/>
        </w:rPr>
        <w:t xml:space="preserve">]</w:t>
      </w:r>
      <w:r>
        <w:rPr>
          <w:rtl/>
        </w:rPr>
        <w:t xml:space="preserve">.</w:t>
      </w:r>
    </w:p>
    <w:p>
      <w:pPr>
        <w:pStyle w:val="Heading1"/>
        <w:bidi/>
      </w:pPr>
      <w:commentRangeStart w:id="2"/>
      <w:r>
        <w:rPr>
          <w:rtl/>
        </w:rPr>
        <w:t xml:space="preserve">البند (3): مصدر الدين</w:t>
      </w:r>
      <w:commentRangeEnd w:id="2"/>
      <w:r>
        <w:rPr>
          <w:rtl/>
        </w:rPr>
        <w:commentReference w:id="2"/>
      </w:r>
    </w:p>
    <w:p>
      <w:pPr>
        <w:bidi/>
      </w:pPr>
      <w:r>
        <w:rPr>
          <w:rtl/>
        </w:rPr>
        <w:t xml:space="preserve">نشأ هذا الدين عن </w:t>
      </w:r>
      <w:r>
        <w:rPr>
          <w:highlight w:val="yellow"/>
          <w:rtl/>
        </w:rPr>
        <w:t xml:space="preserve">[</w:t>
      </w:r>
      <w:r>
        <w:rPr>
          <w:highlight w:val="yellow"/>
          <w:rtl/>
        </w:rPr>
        <w:t xml:space="preserve">عقد مؤرخ ● / فاتورة رقم ● / ثمن مبيع / قرض / غيره: ●</w:t>
      </w:r>
      <w:r>
        <w:rPr>
          <w:highlight w:val="yellow"/>
          <w:rtl/>
        </w:rPr>
        <w:t xml:space="preserve">]</w:t>
      </w:r>
      <w:r>
        <w:rPr>
          <w:rtl/>
        </w:rPr>
        <w:t xml:space="preserve">، في </w:t>
      </w:r>
      <w:r>
        <w:rPr>
          <w:highlight w:val="yellow"/>
          <w:rtl/>
        </w:rPr>
        <w:t xml:space="preserve">[</w:t>
      </w:r>
      <w:r>
        <w:rPr>
          <w:highlight w:val="yellow"/>
          <w:rtl/>
        </w:rPr>
        <w:t xml:space="preserve">التاريخ</w:t>
      </w:r>
      <w:r>
        <w:rPr>
          <w:highlight w:val="yellow"/>
          <w:rtl/>
        </w:rPr>
        <w:t xml:space="preserve">]</w:t>
      </w:r>
      <w:r>
        <w:rPr>
          <w:rtl/>
        </w:rPr>
        <w:t xml:space="preserve">. ولم يُسدَّد منه حتى تاريخ هذا الإقرار إلا </w:t>
      </w:r>
      <w:r>
        <w:rPr>
          <w:highlight w:val="yellow"/>
          <w:rtl/>
        </w:rPr>
        <w:t xml:space="preserve">[</w:t>
      </w:r>
      <w:r>
        <w:rPr>
          <w:highlight w:val="yellow"/>
          <w:rtl/>
        </w:rPr>
        <w:t xml:space="preserve">●</w:t>
      </w:r>
      <w:r>
        <w:rPr>
          <w:highlight w:val="yellow"/>
          <w:rtl/>
        </w:rPr>
        <w:t xml:space="preserve">]</w:t>
      </w:r>
      <w:r>
        <w:rPr>
          <w:rtl/>
        </w:rPr>
        <w:t xml:space="preserve">، والمتبقي هو المبلغ في البند (2).</w:t>
      </w:r>
    </w:p>
    <w:p>
      <w:pPr>
        <w:pStyle w:val="Heading1"/>
        <w:bidi/>
      </w:pPr>
      <w:commentRangeStart w:id="3"/>
      <w:r>
        <w:rPr>
          <w:rtl/>
        </w:rPr>
        <w:t xml:space="preserve">البند (4): السداد دفعة أو أقساطاً</w:t>
      </w:r>
      <w:commentRangeEnd w:id="3"/>
      <w:r>
        <w:rPr>
          <w:rtl/>
        </w:rPr>
        <w:commentReference w:id="3"/>
      </w:r>
    </w:p>
    <w:p>
      <w:pPr>
        <w:bidi/>
        <w:ind w:start="360" w:hanging="0"/>
      </w:pPr>
      <w:r>
        <w:rPr>
          <w:rtl/>
        </w:rPr>
        <w:t xml:space="preserve">(أ) دفعة واحدة في </w:t>
      </w:r>
      <w:r>
        <w:rPr>
          <w:highlight w:val="yellow"/>
          <w:rtl/>
        </w:rPr>
        <w:t xml:space="preserve">[</w:t>
      </w:r>
      <w:r>
        <w:rPr>
          <w:highlight w:val="yellow"/>
          <w:rtl/>
        </w:rPr>
        <w:t xml:space="preserve">التاريخ</w:t>
      </w:r>
      <w:r>
        <w:rPr>
          <w:highlight w:val="yellow"/>
          <w:rtl/>
        </w:rPr>
        <w:t xml:space="preserve">]</w:t>
      </w:r>
      <w:r>
        <w:rPr>
          <w:rtl/>
        </w:rPr>
        <w:t xml:space="preserve">. احذفوا هذا الخيار إن كان السداد أقساطاً.</w:t>
      </w:r>
    </w:p>
    <w:p>
      <w:pPr>
        <w:bidi/>
        <w:ind w:start="360" w:hanging="0"/>
      </w:pPr>
      <w:r>
        <w:rPr>
          <w:rtl/>
        </w:rPr>
        <w:t xml:space="preserve">(ب) أقساطاً كما في الملحق (1). ويُسدَّد كل قسط في تاريخه. احذفوا هذا الخيار إن كانت دفعة واحدة.</w:t>
      </w:r>
    </w:p>
    <w:p>
      <w:pPr>
        <w:pStyle w:val="Heading1"/>
        <w:bidi/>
      </w:pPr>
      <w:commentRangeStart w:id="4"/>
      <w:r>
        <w:rPr>
          <w:rtl/>
        </w:rPr>
        <w:t xml:space="preserve">البند (5): حلول الأجل عند التخلف</w:t>
      </w:r>
      <w:commentRangeEnd w:id="4"/>
      <w:r>
        <w:rPr>
          <w:rtl/>
        </w:rPr>
        <w:commentReference w:id="4"/>
      </w:r>
    </w:p>
    <w:p>
      <w:pPr>
        <w:bidi/>
      </w:pPr>
      <w:r>
        <w:rPr>
          <w:rtl/>
        </w:rPr>
        <w:t xml:space="preserve">إذا تخلّف قسط عن موعده </w:t>
      </w:r>
      <w:r>
        <w:rPr>
          <w:highlight w:val="yellow"/>
          <w:rtl/>
        </w:rPr>
        <w:t xml:space="preserve">[</w:t>
      </w:r>
      <w:r>
        <w:rPr>
          <w:highlight w:val="yellow"/>
          <w:rtl/>
        </w:rPr>
        <w:t xml:space="preserve">●</w:t>
      </w:r>
      <w:r>
        <w:rPr>
          <w:highlight w:val="yellow"/>
          <w:rtl/>
        </w:rPr>
        <w:t xml:space="preserve">]</w:t>
      </w:r>
      <w:r>
        <w:rPr>
          <w:rtl/>
        </w:rPr>
        <w:t xml:space="preserve"> يوماً بعد إخطار مكتوب، حلّ الباقي من غير حاجة إلى إعذار آخر، ما لم يتفق الطرفان على مهلة أطول في كتاب لاحق. وهذا شرط تعاقدي في هذه المسودة، لا قاعدة ننقلها من نظام.</w:t>
      </w:r>
    </w:p>
    <w:p>
      <w:pPr>
        <w:pStyle w:val="Heading1"/>
        <w:bidi/>
      </w:pPr>
      <w:r>
        <w:rPr>
          <w:rtl/>
        </w:rPr>
        <w:t xml:space="preserve">البند (6): مكان الوفاء</w:t>
      </w:r>
    </w:p>
    <w:p>
      <w:pPr>
        <w:bidi/>
      </w:pPr>
      <w:r>
        <w:rPr>
          <w:rtl/>
        </w:rPr>
        <w:t xml:space="preserve">يُوفى الدين بتحويل إلى الحساب </w:t>
      </w:r>
      <w:r>
        <w:rPr>
          <w:highlight w:val="yellow"/>
          <w:rtl/>
        </w:rPr>
        <w:t xml:space="preserve">[</w:t>
      </w:r>
      <w:r>
        <w:rPr>
          <w:highlight w:val="yellow"/>
          <w:rtl/>
        </w:rPr>
        <w:t xml:space="preserve">●</w:t>
      </w:r>
      <w:r>
        <w:rPr>
          <w:highlight w:val="yellow"/>
          <w:rtl/>
        </w:rPr>
        <w:t xml:space="preserve">]</w:t>
      </w:r>
      <w:r>
        <w:rPr>
          <w:rtl/>
        </w:rPr>
        <w:t xml:space="preserve"> لدى </w:t>
      </w:r>
      <w:r>
        <w:rPr>
          <w:highlight w:val="yellow"/>
          <w:rtl/>
        </w:rPr>
        <w:t xml:space="preserve">[</w:t>
      </w:r>
      <w:r>
        <w:rPr>
          <w:highlight w:val="yellow"/>
          <w:rtl/>
        </w:rPr>
        <w:t xml:space="preserve">البنك</w:t>
      </w:r>
      <w:r>
        <w:rPr>
          <w:highlight w:val="yellow"/>
          <w:rtl/>
        </w:rPr>
        <w:t xml:space="preserve">]</w:t>
      </w:r>
      <w:r>
        <w:rPr>
          <w:rtl/>
        </w:rPr>
        <w:t xml:space="preserve">، أو بالتسليم في </w:t>
      </w:r>
      <w:r>
        <w:rPr>
          <w:highlight w:val="yellow"/>
          <w:rtl/>
        </w:rPr>
        <w:t xml:space="preserve">[</w:t>
      </w:r>
      <w:r>
        <w:rPr>
          <w:highlight w:val="yellow"/>
          <w:rtl/>
        </w:rPr>
        <w:t xml:space="preserve">المدينة</w:t>
      </w:r>
      <w:r>
        <w:rPr>
          <w:highlight w:val="yellow"/>
          <w:rtl/>
        </w:rPr>
        <w:t xml:space="preserve">]</w:t>
      </w:r>
      <w:r>
        <w:rPr>
          <w:rtl/>
        </w:rPr>
        <w:t xml:space="preserve">. وتبرأ الذمة بقدر ما يصل إلى الدائن لا بقدر ما يُرسل.</w:t>
      </w:r>
    </w:p>
    <w:p>
      <w:pPr>
        <w:pStyle w:val="Heading1"/>
        <w:bidi/>
      </w:pPr>
      <w:commentRangeStart w:id="5"/>
      <w:r>
        <w:rPr>
          <w:rtl/>
        </w:rPr>
        <w:t xml:space="preserve">البند (7): القانون والمحكمة</w:t>
      </w:r>
      <w:commentRangeEnd w:id="5"/>
      <w:r>
        <w:rPr>
          <w:rtl/>
        </w:rPr>
        <w:commentReference w:id="5"/>
      </w:r>
    </w:p>
    <w:p>
      <w:pPr>
        <w:bidi/>
      </w:pPr>
      <w:r>
        <w:rPr>
          <w:rtl/>
        </w:rPr>
        <w:t xml:space="preserve">يخضع هذا الإقرار لقانون </w:t>
      </w:r>
      <w:r>
        <w:rPr>
          <w:highlight w:val="yellow"/>
          <w:rtl/>
        </w:rPr>
        <w:t xml:space="preserve">[</w:t>
      </w:r>
      <w:r>
        <w:rPr>
          <w:highlight w:val="yellow"/>
          <w:rtl/>
        </w:rPr>
        <w:t xml:space="preserve">دولة خليجية</w:t>
      </w:r>
      <w:r>
        <w:rPr>
          <w:highlight w:val="yellow"/>
          <w:rtl/>
        </w:rPr>
        <w:t xml:space="preserve">]</w:t>
      </w:r>
      <w:r>
        <w:rPr>
          <w:rtl/>
        </w:rPr>
        <w:t xml:space="preserve">، وتختص بنظر النزاع محكمة </w:t>
      </w:r>
      <w:r>
        <w:rPr>
          <w:highlight w:val="yellow"/>
          <w:rtl/>
        </w:rPr>
        <w:t xml:space="preserve">[</w:t>
      </w:r>
      <w:r>
        <w:rPr>
          <w:highlight w:val="yellow"/>
          <w:rtl/>
        </w:rPr>
        <w:t xml:space="preserve">●</w:t>
      </w:r>
      <w:r>
        <w:rPr>
          <w:highlight w:val="yellow"/>
          <w:rtl/>
        </w:rPr>
        <w:t xml:space="preserve">]</w:t>
      </w:r>
      <w:r>
        <w:rPr>
          <w:rtl/>
        </w:rPr>
        <w:t xml:space="preserve"> في </w:t>
      </w:r>
      <w:r>
        <w:rPr>
          <w:highlight w:val="yellow"/>
          <w:rtl/>
        </w:rPr>
        <w:t xml:space="preserve">[</w:t>
      </w:r>
      <w:r>
        <w:rPr>
          <w:highlight w:val="yellow"/>
          <w:rtl/>
        </w:rPr>
        <w:t xml:space="preserve">المدينة</w:t>
      </w:r>
      <w:r>
        <w:rPr>
          <w:highlight w:val="yellow"/>
          <w:rtl/>
        </w:rPr>
        <w:t xml:space="preserve">]</w:t>
      </w:r>
      <w:r>
        <w:rPr>
          <w:rtl/>
        </w:rPr>
        <w:t xml:space="preserve">. ولا يختار هذا النموذج الدولة ولا المحكمة نيابة عن الطرفين.</w:t>
      </w:r>
    </w:p>
    <w:p>
      <w:pPr>
        <w:pStyle w:val="Heading1"/>
        <w:bidi/>
      </w:pPr>
      <w:commentRangeStart w:id="6"/>
      <w:r>
        <w:rPr>
          <w:rtl/>
        </w:rPr>
        <w:t xml:space="preserve">البند (8): التوقيع والشهود</w:t>
      </w:r>
      <w:commentRangeEnd w:id="6"/>
      <w:r>
        <w:rPr>
          <w:rtl/>
        </w:rPr>
        <w:commentReference w:id="6"/>
      </w:r>
    </w:p>
    <w:p>
      <w:pPr>
        <w:pBdr>
          <w:top w:val="single" w:color="888888" w:sz="6" w:space="6"/>
          <w:left w:val="single" w:color="888888" w:sz="6" w:space="6"/>
          <w:bottom w:val="single" w:color="888888" w:sz="6" w:space="6"/>
          <w:right w:val="single" w:color="888888" w:sz="6" w:space="6"/>
        </w:pBdr>
        <w:bidi/>
        <w:spacing w:after="120"/>
      </w:pPr>
      <w:r>
        <w:rPr>
          <w:b/>
          <w:bCs/>
          <w:rtl/>
        </w:rPr>
        <w:t xml:space="preserve">المدين:</w:t>
      </w:r>
      <w:r>
        <w:rPr>
          <w:rtl/>
        </w:rPr>
        <w:t xml:space="preserve"> الاسم </w:t>
      </w:r>
      <w:r>
        <w:rPr>
          <w:highlight w:val="yellow"/>
          <w:rtl/>
        </w:rPr>
        <w:t xml:space="preserve">[</w:t>
      </w:r>
      <w:r>
        <w:rPr>
          <w:highlight w:val="yellow"/>
          <w:rtl/>
        </w:rPr>
        <w:t xml:space="preserve">●</w:t>
      </w:r>
      <w:r>
        <w:rPr>
          <w:highlight w:val="yellow"/>
          <w:rtl/>
        </w:rPr>
        <w:t xml:space="preserve">]</w:t>
      </w:r>
      <w:r>
        <w:rPr>
          <w:rtl/>
        </w:rPr>
        <w:t xml:space="preserve"> · الصفة </w:t>
      </w:r>
      <w:r>
        <w:rPr>
          <w:highlight w:val="yellow"/>
          <w:rtl/>
        </w:rPr>
        <w:t xml:space="preserve">[</w:t>
      </w:r>
      <w:r>
        <w:rPr>
          <w:highlight w:val="yellow"/>
          <w:rtl/>
        </w:rPr>
        <w:t xml:space="preserve">●</w:t>
      </w:r>
      <w:r>
        <w:rPr>
          <w:highlight w:val="yellow"/>
          <w:rtl/>
        </w:rPr>
        <w:t xml:space="preserve">]</w:t>
      </w:r>
      <w:r>
        <w:rPr>
          <w:rtl/>
        </w:rPr>
        <w:t xml:space="preserve"> · التوقيع </w:t>
      </w:r>
      <w:r>
        <w:rPr>
          <w:highlight w:val="yellow"/>
          <w:rtl/>
        </w:rPr>
        <w:t xml:space="preserve">[</w:t>
      </w:r>
      <w:r>
        <w:rPr>
          <w:highlight w:val="yellow"/>
          <w:rtl/>
        </w:rPr>
        <w:t xml:space="preserve">●</w:t>
      </w:r>
      <w:r>
        <w:rPr>
          <w:highlight w:val="yellow"/>
          <w:rtl/>
        </w:rPr>
        <w:t xml:space="preserve">]</w:t>
      </w:r>
      <w:r>
        <w:rPr>
          <w:rtl/>
        </w:rPr>
        <w:t xml:space="preserve"> · التاريخ </w:t>
      </w:r>
      <w:r>
        <w:rPr>
          <w:highlight w:val="yellow"/>
          <w:rtl/>
        </w:rPr>
        <w:t xml:space="preserve">[</w:t>
      </w:r>
      <w:r>
        <w:rPr>
          <w:highlight w:val="yellow"/>
          <w:rtl/>
        </w:rPr>
        <w:t xml:space="preserve">●</w:t>
      </w:r>
      <w:r>
        <w:rPr>
          <w:highlight w:val="yellow"/>
          <w:rtl/>
        </w:rPr>
        <w:t xml:space="preserve">]</w:t>
      </w:r>
    </w:p>
    <w:p>
      <w:pPr>
        <w:pBdr>
          <w:top w:val="single" w:color="888888" w:sz="6" w:space="6"/>
          <w:left w:val="single" w:color="888888" w:sz="6" w:space="6"/>
          <w:bottom w:val="single" w:color="888888" w:sz="6" w:space="6"/>
          <w:right w:val="single" w:color="888888" w:sz="6" w:space="6"/>
        </w:pBdr>
        <w:bidi/>
        <w:spacing w:after="120"/>
      </w:pPr>
      <w:r>
        <w:rPr>
          <w:b/>
          <w:bCs/>
          <w:rtl/>
        </w:rPr>
        <w:t xml:space="preserve">الدائن (اطّلاعاً):</w:t>
      </w:r>
      <w:r>
        <w:rPr>
          <w:rtl/>
        </w:rPr>
        <w:t xml:space="preserve"> الاسم </w:t>
      </w:r>
      <w:r>
        <w:rPr>
          <w:highlight w:val="yellow"/>
          <w:rtl/>
        </w:rPr>
        <w:t xml:space="preserve">[</w:t>
      </w:r>
      <w:r>
        <w:rPr>
          <w:highlight w:val="yellow"/>
          <w:rtl/>
        </w:rPr>
        <w:t xml:space="preserve">●</w:t>
      </w:r>
      <w:r>
        <w:rPr>
          <w:highlight w:val="yellow"/>
          <w:rtl/>
        </w:rPr>
        <w:t xml:space="preserve">]</w:t>
      </w:r>
      <w:r>
        <w:rPr>
          <w:rtl/>
        </w:rPr>
        <w:t xml:space="preserve"> · التوقيع </w:t>
      </w:r>
      <w:r>
        <w:rPr>
          <w:highlight w:val="yellow"/>
          <w:rtl/>
        </w:rPr>
        <w:t xml:space="preserve">[</w:t>
      </w:r>
      <w:r>
        <w:rPr>
          <w:highlight w:val="yellow"/>
          <w:rtl/>
        </w:rPr>
        <w:t xml:space="preserve">●</w:t>
      </w:r>
      <w:r>
        <w:rPr>
          <w:highlight w:val="yellow"/>
          <w:rtl/>
        </w:rPr>
        <w:t xml:space="preserve">]</w:t>
      </w:r>
      <w:r>
        <w:rPr>
          <w:rtl/>
        </w:rPr>
        <w:t xml:space="preserve"> · التاريخ </w:t>
      </w:r>
      <w:r>
        <w:rPr>
          <w:highlight w:val="yellow"/>
          <w:rtl/>
        </w:rPr>
        <w:t xml:space="preserve">[</w:t>
      </w:r>
      <w:r>
        <w:rPr>
          <w:highlight w:val="yellow"/>
          <w:rtl/>
        </w:rPr>
        <w:t xml:space="preserve">●</w:t>
      </w:r>
      <w:r>
        <w:rPr>
          <w:highlight w:val="yellow"/>
          <w:rtl/>
        </w:rPr>
        <w:t xml:space="preserve">]</w:t>
      </w:r>
    </w:p>
    <w:p>
      <w:pPr>
        <w:pBdr>
          <w:top w:val="single" w:color="888888" w:sz="6" w:space="6"/>
          <w:left w:val="single" w:color="888888" w:sz="6" w:space="6"/>
          <w:bottom w:val="single" w:color="888888" w:sz="6" w:space="6"/>
          <w:right w:val="single" w:color="888888" w:sz="6" w:space="6"/>
        </w:pBdr>
        <w:bidi/>
        <w:spacing w:after="120"/>
      </w:pPr>
      <w:r>
        <w:rPr>
          <w:b/>
          <w:bCs/>
          <w:rtl/>
        </w:rPr>
        <w:t xml:space="preserve">الشاهد الأول (اختياري):</w:t>
      </w:r>
      <w:r>
        <w:rPr>
          <w:rtl/>
        </w:rPr>
        <w:t xml:space="preserve"> الاسم </w:t>
      </w:r>
      <w:r>
        <w:rPr>
          <w:highlight w:val="yellow"/>
          <w:rtl/>
        </w:rPr>
        <w:t xml:space="preserve">[</w:t>
      </w:r>
      <w:r>
        <w:rPr>
          <w:highlight w:val="yellow"/>
          <w:rtl/>
        </w:rPr>
        <w:t xml:space="preserve">●</w:t>
      </w:r>
      <w:r>
        <w:rPr>
          <w:highlight w:val="yellow"/>
          <w:rtl/>
        </w:rPr>
        <w:t xml:space="preserve">]</w:t>
      </w:r>
      <w:r>
        <w:rPr>
          <w:rtl/>
        </w:rPr>
        <w:t xml:space="preserve"> · الهوية </w:t>
      </w:r>
      <w:r>
        <w:rPr>
          <w:highlight w:val="yellow"/>
          <w:rtl/>
        </w:rPr>
        <w:t xml:space="preserve">[</w:t>
      </w:r>
      <w:r>
        <w:rPr>
          <w:highlight w:val="yellow"/>
          <w:rtl/>
        </w:rPr>
        <w:t xml:space="preserve">●</w:t>
      </w:r>
      <w:r>
        <w:rPr>
          <w:highlight w:val="yellow"/>
          <w:rtl/>
        </w:rPr>
        <w:t xml:space="preserve">]</w:t>
      </w:r>
      <w:r>
        <w:rPr>
          <w:rtl/>
        </w:rPr>
        <w:t xml:space="preserve"> · التوقيع </w:t>
      </w:r>
      <w:r>
        <w:rPr>
          <w:highlight w:val="yellow"/>
          <w:rtl/>
        </w:rPr>
        <w:t xml:space="preserve">[</w:t>
      </w:r>
      <w:r>
        <w:rPr>
          <w:highlight w:val="yellow"/>
          <w:rtl/>
        </w:rPr>
        <w:t xml:space="preserve">●</w:t>
      </w:r>
      <w:r>
        <w:rPr>
          <w:highlight w:val="yellow"/>
          <w:rtl/>
        </w:rPr>
        <w:t xml:space="preserve">]</w:t>
      </w:r>
    </w:p>
    <w:p>
      <w:pPr>
        <w:pBdr>
          <w:top w:val="single" w:color="888888" w:sz="6" w:space="6"/>
          <w:left w:val="single" w:color="888888" w:sz="6" w:space="6"/>
          <w:bottom w:val="single" w:color="888888" w:sz="6" w:space="6"/>
          <w:right w:val="single" w:color="888888" w:sz="6" w:space="6"/>
        </w:pBdr>
        <w:bidi/>
        <w:spacing w:after="120"/>
      </w:pPr>
      <w:r>
        <w:rPr>
          <w:b/>
          <w:bCs/>
          <w:rtl/>
        </w:rPr>
        <w:t xml:space="preserve">الشاهد الثاني (اختياري):</w:t>
      </w:r>
      <w:r>
        <w:rPr>
          <w:rtl/>
        </w:rPr>
        <w:t xml:space="preserve"> الاسم </w:t>
      </w:r>
      <w:r>
        <w:rPr>
          <w:highlight w:val="yellow"/>
          <w:rtl/>
        </w:rPr>
        <w:t xml:space="preserve">[</w:t>
      </w:r>
      <w:r>
        <w:rPr>
          <w:highlight w:val="yellow"/>
          <w:rtl/>
        </w:rPr>
        <w:t xml:space="preserve">●</w:t>
      </w:r>
      <w:r>
        <w:rPr>
          <w:highlight w:val="yellow"/>
          <w:rtl/>
        </w:rPr>
        <w:t xml:space="preserve">]</w:t>
      </w:r>
      <w:r>
        <w:rPr>
          <w:rtl/>
        </w:rPr>
        <w:t xml:space="preserve"> · الهوية </w:t>
      </w:r>
      <w:r>
        <w:rPr>
          <w:highlight w:val="yellow"/>
          <w:rtl/>
        </w:rPr>
        <w:t xml:space="preserve">[</w:t>
      </w:r>
      <w:r>
        <w:rPr>
          <w:highlight w:val="yellow"/>
          <w:rtl/>
        </w:rPr>
        <w:t xml:space="preserve">●</w:t>
      </w:r>
      <w:r>
        <w:rPr>
          <w:highlight w:val="yellow"/>
          <w:rtl/>
        </w:rPr>
        <w:t xml:space="preserve">]</w:t>
      </w:r>
      <w:r>
        <w:rPr>
          <w:rtl/>
        </w:rPr>
        <w:t xml:space="preserve"> · التوقيع </w:t>
      </w:r>
      <w:r>
        <w:rPr>
          <w:highlight w:val="yellow"/>
          <w:rtl/>
        </w:rPr>
        <w:t xml:space="preserve">[</w:t>
      </w:r>
      <w:r>
        <w:rPr>
          <w:highlight w:val="yellow"/>
          <w:rtl/>
        </w:rPr>
        <w:t xml:space="preserve">●</w:t>
      </w:r>
      <w:r>
        <w:rPr>
          <w:highlight w:val="yellow"/>
          <w:rtl/>
        </w:rPr>
        <w:t xml:space="preserve">]</w:t>
      </w:r>
    </w:p>
    <w:p>
      <w:pPr>
        <w:pStyle w:val="Heading1"/>
        <w:bidi/>
      </w:pPr>
      <w:commentRangeStart w:id="7"/>
      <w:r>
        <w:rPr>
          <w:rtl/>
        </w:rPr>
        <w:t xml:space="preserve">البند (9): طريق التنفيذ</w:t>
      </w:r>
      <w:commentRangeEnd w:id="7"/>
      <w:r>
        <w:rPr>
          <w:rtl/>
        </w:rPr>
        <w:commentReference w:id="7"/>
      </w:r>
    </w:p>
    <w:p>
      <w:pPr>
        <w:bidi/>
        <w:ind w:start="360" w:hanging="0"/>
      </w:pPr>
      <w:r>
        <w:rPr>
          <w:rtl/>
        </w:rPr>
        <w:t xml:space="preserve">(أ) يوثَّق هذا الإقرار لدى جهة التوثيق المختصة في </w:t>
      </w:r>
      <w:r>
        <w:rPr>
          <w:highlight w:val="yellow"/>
          <w:rtl/>
        </w:rPr>
        <w:t xml:space="preserve">[</w:t>
      </w:r>
      <w:r>
        <w:rPr>
          <w:highlight w:val="yellow"/>
          <w:rtl/>
        </w:rPr>
        <w:t xml:space="preserve">الدولة</w:t>
      </w:r>
      <w:r>
        <w:rPr>
          <w:highlight w:val="yellow"/>
          <w:rtl/>
        </w:rPr>
        <w:t xml:space="preserve">]</w:t>
      </w:r>
      <w:r>
        <w:rPr>
          <w:rtl/>
        </w:rPr>
        <w:t xml:space="preserve"> إذا أراد الطرفان أن يُعامل معاملة السند التنفيذي حيث يجيز النظام ذلك.</w:t>
      </w:r>
    </w:p>
    <w:p>
      <w:pPr>
        <w:bidi/>
        <w:ind w:start="360" w:hanging="0"/>
      </w:pPr>
      <w:r>
        <w:rPr>
          <w:rtl/>
        </w:rPr>
        <w:t xml:space="preserve">(ب) أو يُستغنى عن هذا الخطاب بسند لأمر على المنصة الرسمية. وفي السعودية المنصة نافذ.</w:t>
      </w:r>
      <w:r>
        <w:rPr>
          <w:rtl/>
        </w:rPr>
        <w:t xml:space="preserve"> وانظروا </w:t>
      </w:r>
      <w:hyperlink w:history="1" r:id="rId6hyrccrfvjjgrilvyamnl">
        <w:r>
          <w:rPr>
            <w:rStyle w:val="Hyperlink"/>
            <w:rtl/>
          </w:rPr>
          <w:t xml:space="preserve">نموذج السند لأمر</w:t>
        </w:r>
      </w:hyperlink>
      <w:r>
        <w:rPr>
          <w:rtl/>
        </w:rPr>
        <w:t xml:space="preserve">.</w:t>
      </w:r>
    </w:p>
    <w:p>
      <w:pPr>
        <w:bidi/>
        <w:ind w:start="360" w:hanging="0"/>
      </w:pPr>
      <w:r>
        <w:rPr>
          <w:rtl/>
        </w:rPr>
        <w:t xml:space="preserve">(ج) إذا بقي الإقرار غير موثّق في السعودية فهو يحتاج دعوى، لا طلباً تنفيذياً مباشراً.</w:t>
      </w:r>
      <w:r>
        <w:rPr>
          <w:rtl/>
        </w:rPr>
        <w:t xml:space="preserve"> والدعوى تُعدّ في </w:t>
      </w:r>
      <w:hyperlink w:history="1" r:id="rIdd-8iv2guhupwklf8mysrt">
        <w:r>
          <w:rPr>
            <w:rStyle w:val="Hyperlink"/>
            <w:rtl/>
          </w:rPr>
          <w:t xml:space="preserve">صحيفة الدعوى</w:t>
        </w:r>
      </w:hyperlink>
      <w:r>
        <w:rPr>
          <w:rtl/>
        </w:rPr>
        <w:t xml:space="preserve">.</w:t>
      </w:r>
    </w:p>
    <w:p>
      <w:pPr>
        <w:pStyle w:val="Heading1"/>
        <w:pageBreakBefore/>
        <w:bidi/>
      </w:pPr>
      <w:r>
        <w:rPr>
          <w:rtl/>
        </w:rPr>
        <w:t xml:space="preserve">ملاحظات عن الإثبات في السعودية</w:t>
      </w:r>
    </w:p>
    <w:p>
      <w:pPr>
        <w:bidi/>
      </w:pPr>
      <w:r>
        <w:rPr>
          <w:rtl/>
        </w:rPr>
        <w:t xml:space="preserve">نظام الإثبات. ولا يُعاد هنا ما لم يُراجع من النص.</w:t>
      </w:r>
      <w:r>
        <w:rPr>
          <w:rtl/>
        </w:rPr>
        <w:t xml:space="preserve"> [1]</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البند</w:t>
            </w:r>
          </w:p>
        </w:tc>
        <w:tc>
          <w:tcPr>
            <w:shd w:fill="EDEDED" w:color="auto" w:val="clear"/>
            <w:tcMar>
              <w:top w:type="dxa" w:w="80"/>
              <w:left w:type="dxa" w:w="100"/>
              <w:bottom w:type="dxa" w:w="80"/>
              <w:right w:type="dxa" w:w="100"/>
            </w:tcMar>
          </w:tcPr>
          <w:p>
            <w:pPr>
              <w:bidi/>
              <w:spacing w:after="0"/>
            </w:pPr>
            <w:r>
              <w:rPr>
                <w:b/>
                <w:bCs/>
                <w:sz w:val="18"/>
                <w:szCs w:val="18"/>
                <w:rtl/>
              </w:rPr>
              <w:t xml:space="preserve">النص</w:t>
            </w:r>
          </w:p>
        </w:tc>
      </w:tr>
      <w:tr>
        <w:trPr>
          <w:cantSplit/>
        </w:trPr>
        <w:tc>
          <w:tcPr>
            <w:tcMar>
              <w:top w:type="dxa" w:w="80"/>
              <w:left w:type="dxa" w:w="100"/>
              <w:bottom w:type="dxa" w:w="80"/>
              <w:right w:type="dxa" w:w="100"/>
            </w:tcMar>
          </w:tcPr>
          <w:p>
            <w:pPr>
              <w:bidi/>
              <w:spacing w:after="0"/>
            </w:pPr>
            <w:r>
              <w:rPr>
                <w:b w:val="false"/>
                <w:sz w:val="18"/>
                <w:szCs w:val="18"/>
                <w:rtl/>
              </w:rPr>
              <w:t xml:space="preserve">نوعاه</w:t>
            </w:r>
          </w:p>
        </w:tc>
        <w:tc>
          <w:tcPr>
            <w:tcMar>
              <w:top w:type="dxa" w:w="80"/>
              <w:left w:type="dxa" w:w="100"/>
              <w:bottom w:type="dxa" w:w="80"/>
              <w:right w:type="dxa" w:w="100"/>
            </w:tcMar>
          </w:tcPr>
          <w:p>
            <w:pPr>
              <w:bidi/>
              <w:spacing w:after="0"/>
            </w:pPr>
            <w:r>
              <w:rPr>
                <w:b w:val="false"/>
                <w:sz w:val="18"/>
                <w:szCs w:val="18"/>
                <w:rtl/>
              </w:rPr>
              <w:t xml:space="preserve">يفرّق النظام بين الإقرار القضائي والإقرار غير القضائي (المادة الرابعة عشرة).</w:t>
            </w:r>
            <w:r>
              <w:rPr>
                <w:b w:val="false"/>
                <w:sz w:val="18"/>
                <w:szCs w:val="18"/>
                <w:rtl/>
              </w:rPr>
              <w:t xml:space="preserve"> [1]</w:t>
            </w:r>
          </w:p>
        </w:tc>
      </w:tr>
      <w:tr>
        <w:trPr>
          <w:cantSplit/>
        </w:trPr>
        <w:tc>
          <w:tcPr>
            <w:tcMar>
              <w:top w:type="dxa" w:w="80"/>
              <w:left w:type="dxa" w:w="100"/>
              <w:bottom w:type="dxa" w:w="80"/>
              <w:right w:type="dxa" w:w="100"/>
            </w:tcMar>
          </w:tcPr>
          <w:p>
            <w:pPr>
              <w:bidi/>
              <w:spacing w:after="0"/>
            </w:pPr>
            <w:r>
              <w:rPr>
                <w:b w:val="false"/>
                <w:sz w:val="18"/>
                <w:szCs w:val="18"/>
                <w:rtl/>
              </w:rPr>
              <w:t xml:space="preserve">الكتابة</w:t>
            </w:r>
          </w:p>
        </w:tc>
        <w:tc>
          <w:tcPr>
            <w:tcMar>
              <w:top w:type="dxa" w:w="80"/>
              <w:left w:type="dxa" w:w="100"/>
              <w:bottom w:type="dxa" w:w="80"/>
              <w:right w:type="dxa" w:w="100"/>
            </w:tcMar>
          </w:tcPr>
          <w:p>
            <w:pPr>
              <w:bidi/>
              <w:spacing w:after="0"/>
            </w:pPr>
            <w:r>
              <w:rPr>
                <w:b w:val="false"/>
                <w:sz w:val="18"/>
                <w:szCs w:val="18"/>
                <w:rtl/>
              </w:rPr>
              <w:t xml:space="preserve">يجوز أن يكون الإقرار مكتوباً (المادة السادسة عشرة).</w:t>
            </w:r>
            <w:r>
              <w:rPr>
                <w:b w:val="false"/>
                <w:sz w:val="18"/>
                <w:szCs w:val="18"/>
                <w:rtl/>
              </w:rPr>
              <w:t xml:space="preserve"> [1]</w:t>
            </w:r>
          </w:p>
        </w:tc>
      </w:tr>
      <w:tr>
        <w:trPr>
          <w:cantSplit/>
        </w:trPr>
        <w:tc>
          <w:tcPr>
            <w:tcMar>
              <w:top w:type="dxa" w:w="80"/>
              <w:left w:type="dxa" w:w="100"/>
              <w:bottom w:type="dxa" w:w="80"/>
              <w:right w:type="dxa" w:w="100"/>
            </w:tcMar>
          </w:tcPr>
          <w:p>
            <w:pPr>
              <w:bidi/>
              <w:spacing w:after="0"/>
            </w:pPr>
            <w:r>
              <w:rPr>
                <w:b w:val="false"/>
                <w:sz w:val="18"/>
                <w:szCs w:val="18"/>
                <w:rtl/>
              </w:rPr>
              <w:t xml:space="preserve">حجيته</w:t>
            </w:r>
          </w:p>
        </w:tc>
        <w:tc>
          <w:tcPr>
            <w:tcMar>
              <w:top w:type="dxa" w:w="80"/>
              <w:left w:type="dxa" w:w="100"/>
              <w:bottom w:type="dxa" w:w="80"/>
              <w:right w:type="dxa" w:w="100"/>
            </w:tcMar>
          </w:tcPr>
          <w:p>
            <w:pPr>
              <w:bidi/>
              <w:spacing w:after="0"/>
            </w:pPr>
            <w:r>
              <w:rPr>
                <w:b w:val="false"/>
                <w:sz w:val="18"/>
                <w:szCs w:val="18"/>
                <w:rtl/>
              </w:rPr>
              <w:t xml:space="preserve">الإقرار القضائي حجة قاطعة على المقرّ (المادة السابعة عشرة).</w:t>
            </w:r>
            <w:r>
              <w:rPr>
                <w:b w:val="false"/>
                <w:sz w:val="18"/>
                <w:szCs w:val="18"/>
                <w:rtl/>
              </w:rPr>
              <w:t xml:space="preserve"> [1]</w:t>
            </w:r>
          </w:p>
        </w:tc>
      </w:tr>
      <w:tr>
        <w:trPr>
          <w:cantSplit/>
        </w:trPr>
        <w:tc>
          <w:tcPr>
            <w:tcMar>
              <w:top w:type="dxa" w:w="80"/>
              <w:left w:type="dxa" w:w="100"/>
              <w:bottom w:type="dxa" w:w="80"/>
              <w:right w:type="dxa" w:w="100"/>
            </w:tcMar>
          </w:tcPr>
          <w:p>
            <w:pPr>
              <w:bidi/>
              <w:spacing w:after="0"/>
            </w:pPr>
            <w:r>
              <w:rPr>
                <w:b w:val="false"/>
                <w:sz w:val="18"/>
                <w:szCs w:val="18"/>
                <w:rtl/>
              </w:rPr>
              <w:t xml:space="preserve">الرجوع</w:t>
            </w:r>
          </w:p>
        </w:tc>
        <w:tc>
          <w:tcPr>
            <w:tcMar>
              <w:top w:type="dxa" w:w="80"/>
              <w:left w:type="dxa" w:w="100"/>
              <w:bottom w:type="dxa" w:w="80"/>
              <w:right w:type="dxa" w:w="100"/>
            </w:tcMar>
          </w:tcPr>
          <w:p>
            <w:pPr>
              <w:bidi/>
              <w:spacing w:after="0"/>
            </w:pPr>
            <w:r>
              <w:rPr>
                <w:b w:val="false"/>
                <w:sz w:val="18"/>
                <w:szCs w:val="18"/>
                <w:rtl/>
              </w:rPr>
              <w:t xml:space="preserve">المقرّ ملزم بإقراره ولا يملك الرجوع عنه (المادة الثامنة عشرة).</w:t>
            </w:r>
            <w:r>
              <w:rPr>
                <w:b w:val="false"/>
                <w:sz w:val="18"/>
                <w:szCs w:val="18"/>
                <w:rtl/>
              </w:rPr>
              <w:t xml:space="preserve"> [1]</w:t>
            </w:r>
          </w:p>
        </w:tc>
      </w:tr>
    </w:tbl>
    <w:p>
      <w:pPr>
        <w:bidi/>
      </w:pPr>
    </w:p>
    <w:p>
      <w:pPr>
        <w:pStyle w:val="Heading1"/>
        <w:pageBreakBefore/>
        <w:bidi/>
      </w:pPr>
      <w:r>
        <w:rPr>
          <w:rtl/>
        </w:rPr>
        <w:t xml:space="preserve">ملاحظات عن التنفيذ في السعودية</w:t>
      </w:r>
    </w:p>
    <w:p>
      <w:pPr>
        <w:bidi/>
      </w:pPr>
      <w:r>
        <w:rPr>
          <w:rtl/>
        </w:rPr>
        <w:t xml:space="preserve">نظام التنفيذ الجديد. صدر في 20 أبريل 2026، ونُشر في 1 مايو 2026، ويُعمل به بعد مئة وثمانين يوماً من النشر. ولا يُسمّى يوم تمام المدة في هذه الصفحة. ويحل محل نظام عام 1433هـ.</w:t>
      </w:r>
      <w:r>
        <w:rPr>
          <w:rtl/>
        </w:rPr>
        <w:t xml:space="preserve"> [2]</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البند</w:t>
            </w:r>
          </w:p>
        </w:tc>
        <w:tc>
          <w:tcPr>
            <w:shd w:fill="EDEDED" w:color="auto" w:val="clear"/>
            <w:tcMar>
              <w:top w:type="dxa" w:w="80"/>
              <w:left w:type="dxa" w:w="100"/>
              <w:bottom w:type="dxa" w:w="80"/>
              <w:right w:type="dxa" w:w="100"/>
            </w:tcMar>
          </w:tcPr>
          <w:p>
            <w:pPr>
              <w:bidi/>
              <w:spacing w:after="0"/>
            </w:pPr>
            <w:r>
              <w:rPr>
                <w:b/>
                <w:bCs/>
                <w:sz w:val="18"/>
                <w:szCs w:val="18"/>
                <w:rtl/>
              </w:rPr>
              <w:t xml:space="preserve">النص</w:t>
            </w:r>
          </w:p>
        </w:tc>
      </w:tr>
      <w:tr>
        <w:trPr>
          <w:cantSplit/>
        </w:trPr>
        <w:tc>
          <w:tcPr>
            <w:tcMar>
              <w:top w:type="dxa" w:w="80"/>
              <w:left w:type="dxa" w:w="100"/>
              <w:bottom w:type="dxa" w:w="80"/>
              <w:right w:type="dxa" w:w="100"/>
            </w:tcMar>
          </w:tcPr>
          <w:p>
            <w:pPr>
              <w:bidi/>
              <w:spacing w:after="0"/>
            </w:pPr>
            <w:r>
              <w:rPr>
                <w:b w:val="false"/>
                <w:sz w:val="18"/>
                <w:szCs w:val="18"/>
                <w:rtl/>
              </w:rPr>
              <w:t xml:space="preserve">الإقرار الموثق</w:t>
            </w:r>
          </w:p>
        </w:tc>
        <w:tc>
          <w:tcPr>
            <w:tcMar>
              <w:top w:type="dxa" w:w="80"/>
              <w:left w:type="dxa" w:w="100"/>
              <w:bottom w:type="dxa" w:w="80"/>
              <w:right w:type="dxa" w:w="100"/>
            </w:tcMar>
          </w:tcPr>
          <w:p>
            <w:pPr>
              <w:bidi/>
              <w:spacing w:after="0"/>
            </w:pPr>
            <w:r>
              <w:rPr>
                <w:b w:val="false"/>
                <w:sz w:val="18"/>
                <w:szCs w:val="18"/>
                <w:rtl/>
              </w:rPr>
              <w:t xml:space="preserve">العقود والإقرارات الموثقة وفق نظام التوثيق سندات تنفيذية (المادة السابعة، الفقرة 1، البند و).</w:t>
            </w:r>
            <w:r>
              <w:rPr>
                <w:b w:val="false"/>
                <w:sz w:val="18"/>
                <w:szCs w:val="18"/>
                <w:rtl/>
              </w:rPr>
              <w:t xml:space="preserve"> [2]</w:t>
            </w:r>
          </w:p>
        </w:tc>
      </w:tr>
      <w:tr>
        <w:trPr>
          <w:cantSplit/>
        </w:trPr>
        <w:tc>
          <w:tcPr>
            <w:tcMar>
              <w:top w:type="dxa" w:w="80"/>
              <w:left w:type="dxa" w:w="100"/>
              <w:bottom w:type="dxa" w:w="80"/>
              <w:right w:type="dxa" w:w="100"/>
            </w:tcMar>
          </w:tcPr>
          <w:p>
            <w:pPr>
              <w:bidi/>
              <w:spacing w:after="0"/>
            </w:pPr>
            <w:r>
              <w:rPr>
                <w:b w:val="false"/>
                <w:sz w:val="18"/>
                <w:szCs w:val="18"/>
                <w:rtl/>
              </w:rPr>
              <w:t xml:space="preserve">الإقرار غير الموثق</w:t>
            </w:r>
          </w:p>
        </w:tc>
        <w:tc>
          <w:tcPr>
            <w:tcMar>
              <w:top w:type="dxa" w:w="80"/>
              <w:left w:type="dxa" w:w="100"/>
              <w:bottom w:type="dxa" w:w="80"/>
              <w:right w:type="dxa" w:w="100"/>
            </w:tcMar>
          </w:tcPr>
          <w:p>
            <w:pPr>
              <w:bidi/>
              <w:spacing w:after="0"/>
            </w:pPr>
            <w:r>
              <w:rPr>
                <w:b w:val="false"/>
                <w:sz w:val="18"/>
                <w:szCs w:val="18"/>
                <w:rtl/>
              </w:rPr>
              <w:t xml:space="preserve">يحتاج دعوى. ولا يُقدَّم به طلب تنفيذ مباشر بناء على ما رُوجع هنا.</w:t>
            </w:r>
            <w:r>
              <w:rPr>
                <w:b w:val="false"/>
                <w:sz w:val="18"/>
                <w:szCs w:val="18"/>
                <w:rtl/>
              </w:rPr>
              <w:t xml:space="preserve"> [2]</w:t>
            </w:r>
          </w:p>
        </w:tc>
      </w:tr>
    </w:tbl>
    <w:p>
      <w:pPr>
        <w:bidi/>
      </w:pPr>
    </w:p>
    <w:p>
      <w:pPr>
        <w:pStyle w:val="Heading1"/>
        <w:pageBreakBefore/>
        <w:bidi/>
      </w:pPr>
      <w:r>
        <w:rPr>
          <w:rtl/>
        </w:rPr>
        <w:t xml:space="preserve">ملاحظات عن الإمارات العربية المتحدة</w:t>
      </w:r>
    </w:p>
    <w:p>
      <w:pPr>
        <w:bidi/>
      </w:pPr>
      <w:r>
        <w:rPr>
          <w:rtl/>
        </w:rPr>
        <w:t xml:space="preserve">المرسوم بقانون الاتحادي رقم (42) لسنة 2022.</w:t>
      </w:r>
      <w:r>
        <w:rPr>
          <w:rtl/>
        </w:rPr>
        <w:t xml:space="preserve"> [3]</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البند</w:t>
            </w:r>
          </w:p>
        </w:tc>
        <w:tc>
          <w:tcPr>
            <w:shd w:fill="EDEDED" w:color="auto" w:val="clear"/>
            <w:tcMar>
              <w:top w:type="dxa" w:w="80"/>
              <w:left w:type="dxa" w:w="100"/>
              <w:bottom w:type="dxa" w:w="80"/>
              <w:right w:type="dxa" w:w="100"/>
            </w:tcMar>
          </w:tcPr>
          <w:p>
            <w:pPr>
              <w:bidi/>
              <w:spacing w:after="0"/>
            </w:pPr>
            <w:r>
              <w:rPr>
                <w:b/>
                <w:bCs/>
                <w:sz w:val="18"/>
                <w:szCs w:val="18"/>
                <w:rtl/>
              </w:rPr>
              <w:t xml:space="preserve">النص</w:t>
            </w:r>
          </w:p>
        </w:tc>
      </w:tr>
      <w:tr>
        <w:trPr>
          <w:cantSplit/>
        </w:trPr>
        <w:tc>
          <w:tcPr>
            <w:tcMar>
              <w:top w:type="dxa" w:w="80"/>
              <w:left w:type="dxa" w:w="100"/>
              <w:bottom w:type="dxa" w:w="80"/>
              <w:right w:type="dxa" w:w="100"/>
            </w:tcMar>
          </w:tcPr>
          <w:p>
            <w:pPr>
              <w:bidi/>
              <w:spacing w:after="0"/>
            </w:pPr>
            <w:r>
              <w:rPr>
                <w:b w:val="false"/>
                <w:sz w:val="18"/>
                <w:szCs w:val="18"/>
                <w:rtl/>
              </w:rPr>
              <w:t xml:space="preserve">القائمة</w:t>
            </w:r>
          </w:p>
        </w:tc>
        <w:tc>
          <w:tcPr>
            <w:tcMar>
              <w:top w:type="dxa" w:w="80"/>
              <w:left w:type="dxa" w:w="100"/>
              <w:bottom w:type="dxa" w:w="80"/>
              <w:right w:type="dxa" w:w="100"/>
            </w:tcMar>
          </w:tcPr>
          <w:p>
            <w:pPr>
              <w:bidi/>
              <w:spacing w:after="0"/>
            </w:pPr>
            <w:r>
              <w:rPr>
                <w:b w:val="false"/>
                <w:sz w:val="18"/>
                <w:szCs w:val="18"/>
                <w:rtl/>
              </w:rPr>
              <w:t xml:space="preserve">تسرد المادة (212) السندات التنفيذية.</w:t>
            </w:r>
            <w:r>
              <w:rPr>
                <w:b w:val="false"/>
                <w:sz w:val="18"/>
                <w:szCs w:val="18"/>
                <w:rtl/>
              </w:rPr>
              <w:t xml:space="preserve"> [3]</w:t>
            </w:r>
          </w:p>
        </w:tc>
      </w:tr>
      <w:tr>
        <w:trPr>
          <w:cantSplit/>
        </w:trPr>
        <w:tc>
          <w:tcPr>
            <w:tcMar>
              <w:top w:type="dxa" w:w="80"/>
              <w:left w:type="dxa" w:w="100"/>
              <w:bottom w:type="dxa" w:w="80"/>
              <w:right w:type="dxa" w:w="100"/>
            </w:tcMar>
          </w:tcPr>
          <w:p>
            <w:pPr>
              <w:bidi/>
              <w:spacing w:after="0"/>
            </w:pPr>
            <w:r>
              <w:rPr>
                <w:b w:val="false"/>
                <w:sz w:val="18"/>
                <w:szCs w:val="18"/>
                <w:rtl/>
              </w:rPr>
              <w:t xml:space="preserve">الإقرار الموثق</w:t>
            </w:r>
          </w:p>
        </w:tc>
        <w:tc>
          <w:tcPr>
            <w:tcMar>
              <w:top w:type="dxa" w:w="80"/>
              <w:left w:type="dxa" w:w="100"/>
              <w:bottom w:type="dxa" w:w="80"/>
              <w:right w:type="dxa" w:w="100"/>
            </w:tcMar>
          </w:tcPr>
          <w:p>
            <w:pPr>
              <w:bidi/>
              <w:spacing w:after="0"/>
            </w:pPr>
            <w:r>
              <w:rPr>
                <w:b w:val="false"/>
                <w:sz w:val="18"/>
                <w:szCs w:val="18"/>
                <w:rtl/>
              </w:rPr>
              <w:t xml:space="preserve">هل يدخل في تلك القائمة: قيد المراجعة. ولا يُذكر بند من القائمة لم يُراجع.</w:t>
            </w:r>
          </w:p>
        </w:tc>
      </w:tr>
    </w:tbl>
    <w:p>
      <w:pPr>
        <w:bidi/>
      </w:pPr>
    </w:p>
    <w:p>
      <w:pPr>
        <w:pStyle w:val="Heading1"/>
        <w:bidi/>
      </w:pPr>
      <w:r>
        <w:rPr>
          <w:rtl/>
        </w:rPr>
        <w:t xml:space="preserve">الكويت وعُمان والبحرين وقطر</w:t>
      </w:r>
    </w:p>
    <w:p>
      <w:pPr>
        <w:pStyle w:val="ListParagraph"/>
        <w:numPr>
          <w:ilvl w:val="0"/>
          <w:numId w:val="2"/>
        </w:numPr>
        <w:bidi/>
      </w:pPr>
      <w:r>
        <w:rPr>
          <w:rtl/>
        </w:rPr>
        <w:t xml:space="preserve">الكويت: قيد المراجعة. لا رقم مادة ولا رسم ولا مهلة.</w:t>
      </w:r>
    </w:p>
    <w:p>
      <w:pPr>
        <w:pStyle w:val="ListParagraph"/>
        <w:numPr>
          <w:ilvl w:val="0"/>
          <w:numId w:val="2"/>
        </w:numPr>
        <w:bidi/>
      </w:pPr>
      <w:r>
        <w:rPr>
          <w:rtl/>
        </w:rPr>
        <w:t xml:space="preserve">سلطنة عُمان: قيد المراجعة. لا رقم مادة ولا رسم ولا مهلة.</w:t>
      </w:r>
    </w:p>
    <w:p>
      <w:pPr>
        <w:pStyle w:val="ListParagraph"/>
        <w:numPr>
          <w:ilvl w:val="0"/>
          <w:numId w:val="2"/>
        </w:numPr>
        <w:bidi/>
      </w:pPr>
      <w:r>
        <w:rPr>
          <w:rtl/>
        </w:rPr>
        <w:t xml:space="preserve">البحرين: قيد المراجعة. لا رقم مادة ولا رسم ولا مهلة.</w:t>
      </w:r>
    </w:p>
    <w:p>
      <w:pPr>
        <w:pStyle w:val="ListParagraph"/>
        <w:numPr>
          <w:ilvl w:val="0"/>
          <w:numId w:val="2"/>
        </w:numPr>
        <w:bidi/>
      </w:pPr>
      <w:r>
        <w:rPr>
          <w:rtl/>
        </w:rPr>
        <w:t xml:space="preserve">قطر: قيد المراجعة. لا رقم مادة ولا رسم ولا مهلة.</w:t>
      </w:r>
    </w:p>
    <w:p>
      <w:pPr>
        <w:pStyle w:val="Heading1"/>
        <w:pageBreakBefore/>
        <w:bidi/>
      </w:pPr>
      <w:r>
        <w:rPr>
          <w:rtl/>
        </w:rPr>
        <w:t xml:space="preserve">الملحق (1): جدول الأقساط</w:t>
      </w:r>
    </w:p>
    <w:p>
      <w:pPr>
        <w:bidi/>
      </w:pPr>
      <w:r>
        <w:rPr>
          <w:rtl/>
        </w:rPr>
        <w:t xml:space="preserve">احذفوا الملحق إذا كان السداد دفعة واحدة. ومجموع المبالغ يساوي البند (2).</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169"/>
        <w:gridCol w:w="3169"/>
        <w:gridCol w:w="3169"/>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القسط</w:t>
            </w:r>
          </w:p>
        </w:tc>
        <w:tc>
          <w:tcPr>
            <w:shd w:fill="EDEDED" w:color="auto" w:val="clear"/>
            <w:tcMar>
              <w:top w:type="dxa" w:w="80"/>
              <w:left w:type="dxa" w:w="100"/>
              <w:bottom w:type="dxa" w:w="80"/>
              <w:right w:type="dxa" w:w="100"/>
            </w:tcMar>
          </w:tcPr>
          <w:p>
            <w:pPr>
              <w:bidi/>
              <w:spacing w:after="0"/>
            </w:pPr>
            <w:r>
              <w:rPr>
                <w:b/>
                <w:bCs/>
                <w:sz w:val="18"/>
                <w:szCs w:val="18"/>
                <w:rtl/>
              </w:rPr>
              <w:t xml:space="preserve">تاريخ الاستحقاق</w:t>
            </w:r>
          </w:p>
        </w:tc>
        <w:tc>
          <w:tcPr>
            <w:shd w:fill="EDEDED" w:color="auto" w:val="clear"/>
            <w:tcMar>
              <w:top w:type="dxa" w:w="80"/>
              <w:left w:type="dxa" w:w="100"/>
              <w:bottom w:type="dxa" w:w="80"/>
              <w:right w:type="dxa" w:w="100"/>
            </w:tcMar>
          </w:tcPr>
          <w:p>
            <w:pPr>
              <w:bidi/>
              <w:spacing w:after="0"/>
            </w:pPr>
            <w:r>
              <w:rPr>
                <w:b/>
                <w:bCs/>
                <w:sz w:val="18"/>
                <w:szCs w:val="18"/>
                <w:rtl/>
              </w:rPr>
              <w:t xml:space="preserve">المبلغ</w:t>
            </w:r>
          </w:p>
        </w:tc>
      </w:tr>
      <w:tr>
        <w:trPr>
          <w:cantSplit/>
        </w:trPr>
        <w:tc>
          <w:tcPr>
            <w:tcMar>
              <w:top w:type="dxa" w:w="80"/>
              <w:left w:type="dxa" w:w="100"/>
              <w:bottom w:type="dxa" w:w="80"/>
              <w:right w:type="dxa" w:w="100"/>
            </w:tcMar>
          </w:tcPr>
          <w:p>
            <w:pPr>
              <w:bidi/>
              <w:spacing w:after="0"/>
            </w:pPr>
            <w:r>
              <w:rPr>
                <w:b w:val="false"/>
                <w:sz w:val="18"/>
                <w:szCs w:val="18"/>
                <w:rtl/>
              </w:rPr>
              <w:t xml:space="preserve">1</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التاريخ</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المبلغ</w:t>
            </w:r>
            <w:r>
              <w:rPr>
                <w:b w:val="false"/>
                <w:sz w:val="18"/>
                <w:szCs w:val="18"/>
                <w:highlight w:val="yellow"/>
                <w:rtl/>
              </w:rPr>
              <w:t xml:space="preserve">]</w:t>
            </w:r>
          </w:p>
        </w:tc>
      </w:tr>
      <w:tr>
        <w:trPr>
          <w:cantSplit/>
        </w:trPr>
        <w:tc>
          <w:tcPr>
            <w:tcMar>
              <w:top w:type="dxa" w:w="80"/>
              <w:left w:type="dxa" w:w="100"/>
              <w:bottom w:type="dxa" w:w="80"/>
              <w:right w:type="dxa" w:w="100"/>
            </w:tcMar>
          </w:tcPr>
          <w:p>
            <w:pPr>
              <w:bidi/>
              <w:spacing w:after="0"/>
            </w:pPr>
            <w:r>
              <w:rPr>
                <w:b w:val="false"/>
                <w:sz w:val="18"/>
                <w:szCs w:val="18"/>
                <w:rtl/>
              </w:rPr>
              <w:t xml:space="preserve">2</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r>
      <w:tr>
        <w:trPr>
          <w:cantSplit/>
        </w:trPr>
        <w:tc>
          <w:tcPr>
            <w:tcMar>
              <w:top w:type="dxa" w:w="80"/>
              <w:left w:type="dxa" w:w="100"/>
              <w:bottom w:type="dxa" w:w="80"/>
              <w:right w:type="dxa" w:w="100"/>
            </w:tcMar>
          </w:tcPr>
          <w:p>
            <w:pPr>
              <w:bidi/>
              <w:spacing w:after="0"/>
            </w:pPr>
            <w:r>
              <w:rPr>
                <w:b w:val="false"/>
                <w:sz w:val="18"/>
                <w:szCs w:val="18"/>
                <w:rtl/>
              </w:rPr>
              <w:t xml:space="preserve">3</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c>
          <w:tcPr>
            <w:tcMar>
              <w:top w:type="dxa" w:w="80"/>
              <w:left w:type="dxa" w:w="100"/>
              <w:bottom w:type="dxa" w:w="80"/>
              <w:right w:type="dxa" w:w="100"/>
            </w:tcMar>
          </w:tcPr>
          <w:p>
            <w:pPr>
              <w:bidi/>
              <w:spacing w:after="0"/>
            </w:pPr>
            <w:r>
              <w:rPr>
                <w:b w:val="false"/>
                <w:sz w:val="18"/>
                <w:szCs w:val="18"/>
                <w:highlight w:val="yellow"/>
                <w:rtl/>
              </w:rPr>
              <w:t xml:space="preserve">[</w:t>
            </w:r>
            <w:r>
              <w:rPr>
                <w:b w:val="false"/>
                <w:sz w:val="18"/>
                <w:szCs w:val="18"/>
                <w:highlight w:val="yellow"/>
                <w:rtl/>
              </w:rPr>
              <w:t xml:space="preserve">●</w:t>
            </w:r>
            <w:r>
              <w:rPr>
                <w:b w:val="false"/>
                <w:sz w:val="18"/>
                <w:szCs w:val="18"/>
                <w:highlight w:val="yellow"/>
                <w:rtl/>
              </w:rPr>
              <w:t xml:space="preserve">]</w:t>
            </w:r>
          </w:p>
        </w:tc>
      </w:tr>
    </w:tbl>
    <w:p>
      <w:pPr>
        <w:bidi/>
      </w:pPr>
    </w:p>
    <w:p>
      <w:pPr>
        <w:pStyle w:val="Heading1"/>
        <w:pageBreakBefore/>
        <w:bidi/>
      </w:pPr>
      <w:r>
        <w:rPr>
          <w:rtl/>
        </w:rPr>
        <w:t xml:space="preserve">عن هذا النموذج</w:t>
      </w:r>
    </w:p>
    <w:p>
      <w:pPr>
        <w:bidi/>
      </w:pPr>
      <w:r>
        <w:rPr>
          <w:rtl/>
        </w:rPr>
        <w:t xml:space="preserve">هذا نموذج استرشادي وليس استشارة قانونية، ولا ينشئ علاقة محامٍ بموكّل. تتغير قواعد المحاكم وإرشادات الجهات التنظيمية والتشريعات؛ يُرجى الرجوع إلى المصادر الرسمية المرفقة ومراجعة العقد من محامٍ مختص في كل دولة معنية. آخر مراجعة: 22 أكتوبر 2026. احرص على مراجعته من محامٍ مرخّص في دولتك قبل استخدامه، وحيثما كان النموذج أو المنصة الرسمية إلزامياً فهو المعتمد.</w:t>
      </w:r>
    </w:p>
    <w:p>
      <w:pPr>
        <w:bidi/>
      </w:pPr>
      <w:r>
        <w:rPr>
          <w:b/>
          <w:bCs/>
          <w:rtl/>
        </w:rPr>
        <w:t xml:space="preserve">منهجية الإعداد:</w:t>
      </w:r>
      <w:r>
        <w:rPr>
          <w:rtl/>
        </w:rPr>
        <w:t xml:space="preserve"> أُعِدّ هذا النموذج استناداً إلى التشريعات والمنصات الحكومية الرسمية المذكورة في قسم المصادر، وروجعت كل معلومة نظامية مقابل النص الرسمي في تاريخ المراجعة. وحيثما وُجد نموذج أو منصة رسمية أشرنا إليها، وينبغي استخدامها. الأنظمة تتغير؛ فتحقّق من المصادر قبل الاستخدام، واعرض النص النهائي على محامٍ مرخّص.</w:t>
      </w:r>
    </w:p>
    <w:p>
      <w:pPr>
        <w:bidi/>
      </w:pPr>
      <w:r>
        <w:rPr>
          <w:rtl/>
        </w:rPr>
        <w:t xml:space="preserve">نص هذه الصفحة وملفات ‎.docx مرخّصة بموجب </w:t>
      </w:r>
      <w:hyperlink w:history="1" r:id="rIdag6fxyvfag6tndkzz54gk">
        <w:r>
          <w:rPr>
            <w:rStyle w:val="Hyperlink"/>
            <w:rtl/>
          </w:rPr>
          <w:t xml:space="preserve">ترخيص المشاع الإبداعي نَسب المُصنَّف 4.0 الدولي (CC BY 4.0)</w:t>
        </w:r>
      </w:hyperlink>
      <w:r>
        <w:rPr>
          <w:rtl/>
        </w:rPr>
        <w:t xml:space="preserve">. ولا يشمل الترخيص اسم قانو وشعارها.</w:t>
      </w:r>
    </w:p>
    <w:p>
      <w:pPr>
        <w:bidi/>
      </w:pPr>
      <w:r>
        <w:rPr>
          <w:rtl/>
        </w:rPr>
        <w:t xml:space="preserve">المصدر: ‪https://www.qanu.ai/ar/نماذج/نموذج-إقرار-دين‬ · آخر مراجعة: 22 أكتوبر 2026 · ليست استشارة قانونية · CC BY 4.0</w:t>
      </w:r>
    </w:p>
    <w:p>
      <w:pPr>
        <w:pStyle w:val="Heading2"/>
        <w:bidi/>
      </w:pPr>
      <w:r>
        <w:rPr>
          <w:rtl/>
        </w:rPr>
        <w:t xml:space="preserve">المصادر</w:t>
      </w:r>
    </w:p>
    <w:p>
      <w:pPr>
        <w:bidi/>
        <w:ind w:start="360" w:hanging="360"/>
      </w:pPr>
      <w:r>
        <w:rPr>
          <w:sz w:val="18"/>
          <w:szCs w:val="18"/>
          <w:rtl/>
        </w:rPr>
        <w:t xml:space="preserve">[1] هيئة الخبراء بمجلس الوزراء، نظام الإثبات </w:t>
      </w:r>
      <w:hyperlink w:history="1" r:id="rIduiiknogkmripv4we1watc">
        <w:r>
          <w:rPr>
            <w:rStyle w:val="Hyperlink"/>
            <w:sz w:val="16"/>
            <w:szCs w:val="16"/>
          </w:rPr>
          <w:t xml:space="preserve">https://laws.boe.gov.sa/BoeLaws/Laws/LawDetails/2716057c-c097-4bad-8e1e-ae1400c678d5/1</w:t>
        </w:r>
      </w:hyperlink>
    </w:p>
    <w:p>
      <w:pPr>
        <w:bidi/>
        <w:ind w:start="360" w:hanging="360"/>
      </w:pPr>
      <w:r>
        <w:rPr>
          <w:sz w:val="18"/>
          <w:szCs w:val="18"/>
          <w:rtl/>
        </w:rPr>
        <w:t xml:space="preserve">[2] هيئة الخبراء بمجلس الوزراء، نظام التنفيذ الصادر بالمرسوم الملكي رقم (م/237) وتاريخ 3/11/1447هـ (20 أبريل 2026)، المنشور في 1 مايو 2026، ويُعمل به بعد مئة وثمانين يوماً من النشر، ويحل محل نظام عام 1433هـ. المادة السابعة، الفقرة (1)، البند (و): العقود والإقرارات الموثقة وفق نظام التوثيق سندات تنفيذية. </w:t>
      </w:r>
      <w:hyperlink w:history="1" r:id="rIdss113_mu9m6azcgaavghk">
        <w:r>
          <w:rPr>
            <w:rStyle w:val="Hyperlink"/>
            <w:sz w:val="16"/>
            <w:szCs w:val="16"/>
          </w:rPr>
          <w:t xml:space="preserve">https://laws.boe.gov.sa/BoeLaws/Laws/LawDetails/67dd54bc-c33a-48c8-8356-b44700a9ab55/1</w:t>
        </w:r>
      </w:hyperlink>
    </w:p>
    <w:p>
      <w:pPr>
        <w:bidi/>
        <w:ind w:start="360" w:hanging="360"/>
      </w:pPr>
      <w:r>
        <w:rPr>
          <w:sz w:val="18"/>
          <w:szCs w:val="18"/>
          <w:rtl/>
        </w:rPr>
        <w:t xml:space="preserve">[3] تشريعات الإمارات، المرسوم بقانون اتحادي رقم (42) لسنة 2022 بشأن قانون الإجراءات المدنية، المادة (212) (قائمة السندات التنفيذية). ولم يُحسم في هذه الصفحة هل يدخل الإقرار الموثّق في القائمة. </w:t>
      </w:r>
      <w:hyperlink w:history="1" r:id="rIdn32m6fh5clgqz_pmmnpis">
        <w:r>
          <w:rPr>
            <w:rStyle w:val="Hyperlink"/>
            <w:sz w:val="16"/>
            <w:szCs w:val="16"/>
          </w:rPr>
          <w:t xml:space="preserve">https://uaelegislation.gov.ae/ar/legislations/1602</w:t>
        </w:r>
      </w:hyperlink>
    </w:p>
    <w:p>
      <w:pPr>
        <w:bidi/>
        <w:ind w:start="360" w:hanging="360"/>
      </w:pPr>
      <w:r>
        <w:rPr>
          <w:sz w:val="18"/>
          <w:szCs w:val="18"/>
          <w:rtl/>
        </w:rPr>
        <w:t xml:space="preserve">[4] المنصة الوطنية (my.gov.sa)، خدمة «Declare debt repayment» رقم 19814: إقرار بأن ديناً قد سُدد. وهي غير هذا النموذج. </w:t>
      </w:r>
      <w:hyperlink w:history="1" r:id="rId-9jrhs7uy7l2gtpg80cbx">
        <w:r>
          <w:rPr>
            <w:rStyle w:val="Hyperlink"/>
            <w:sz w:val="16"/>
            <w:szCs w:val="16"/>
          </w:rPr>
          <w:t xml:space="preserve">https://my.gov.sa/en/services/19814</w:t>
        </w:r>
      </w:hyperlink>
    </w:p>
    <w:p>
      <w:pPr>
        <w:bidi/>
        <w:ind w:start="360" w:hanging="360"/>
      </w:pPr>
      <w:r>
        <w:rPr>
          <w:sz w:val="18"/>
          <w:szCs w:val="18"/>
          <w:rtl/>
        </w:rPr>
        <w:t xml:space="preserve">[5] منصة نافذ، إنشاء ورقة السند لأمر وتسجيلها إلكترونياً </w:t>
      </w:r>
      <w:hyperlink w:history="1" r:id="rIdt8exkqnekl9xly9-yquiu">
        <w:r>
          <w:rPr>
            <w:rStyle w:val="Hyperlink"/>
            <w:sz w:val="16"/>
            <w:szCs w:val="16"/>
          </w:rPr>
          <w:t xml:space="preserve">https://nafith.sa/execution_documents/</w:t>
        </w:r>
      </w:hyperlink>
    </w:p>
    <w:sectPr>
      <w:headerReference w:type="default" r:id="rId7"/>
      <w:headerReference w:type="first" r:id="rId8"/>
      <w:footerReference w:type="default" r:id="rId9"/>
      <w:footerReference w:type="first" r:id="rId10"/>
      <w:pgSz w:w="11906" w:h="16838" w:orient="portrait"/>
      <w:pgMar w:top="1300" w:right="1200" w:bottom="1100" w:left="1200" w:header="500" w:footer="500" w:gutter="0"/>
      <w:pgNumType/>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Q" w:author="Qanu" w:date="2026-10-22T00:00:00.000Z">
    <w:p>
      <w:pPr>
        <w:bidi/>
      </w:pPr>
      <w:r>
        <w:rPr>
          <w:b/>
          <w:bCs/>
          <w:rtl/>
        </w:rPr>
        <w:t xml:space="preserve">ملاحظة صياغة</w:t>
      </w:r>
    </w:p>
    <w:p>
      <w:pPr>
        <w:bidi/>
      </w:pPr>
      <w:r>
        <w:rPr>
          <w:rtl/>
        </w:rPr>
        <w:t xml:space="preserve">اسمان كما في الهوية أو السجل. وإقرار بلا مدين مسمّى لا يُنتفع به.</w:t>
      </w:r>
    </w:p>
  </w:comment>
  <w:comment w:id="1" w:initials="Q" w:author="Qanu" w:date="2026-10-22T00:00:00.000Z">
    <w:p>
      <w:pPr>
        <w:bidi/>
      </w:pPr>
      <w:r>
        <w:rPr>
          <w:b/>
          <w:bCs/>
          <w:rtl/>
        </w:rPr>
        <w:t xml:space="preserve">ملاحظة صياغة</w:t>
      </w:r>
    </w:p>
    <w:p>
      <w:pPr>
        <w:bidi/>
      </w:pPr>
      <w:r>
        <w:rPr>
          <w:rtl/>
        </w:rPr>
        <w:t xml:space="preserve">عملة واحدة. ولا تتركوا «كتابةً» فارغة. ولا تورد الصفحة سعر فائدة نظامياً.</w:t>
      </w:r>
    </w:p>
  </w:comment>
  <w:comment w:id="2" w:initials="Q" w:author="Qanu" w:date="2026-10-22T00:00:00.000Z">
    <w:p>
      <w:pPr>
        <w:bidi/>
      </w:pPr>
      <w:r>
        <w:rPr>
          <w:b/>
          <w:bCs/>
          <w:rtl/>
        </w:rPr>
        <w:t xml:space="preserve">ملاحظة صياغة</w:t>
      </w:r>
    </w:p>
    <w:p>
      <w:pPr>
        <w:bidi/>
      </w:pPr>
      <w:r>
        <w:rPr>
          <w:rtl/>
        </w:rPr>
        <w:t xml:space="preserve">سبب مكتوب. و«مبالغ متفرقة» بلا سند تُضعف الإقرار أمام من يراجعه.</w:t>
      </w:r>
    </w:p>
  </w:comment>
  <w:comment w:id="3" w:initials="Q" w:author="Qanu" w:date="2026-10-22T00:00:00.000Z">
    <w:p>
      <w:pPr>
        <w:bidi/>
      </w:pPr>
      <w:r>
        <w:rPr>
          <w:b/>
          <w:bCs/>
          <w:rtl/>
        </w:rPr>
        <w:t xml:space="preserve">ملاحظة صياغة</w:t>
      </w:r>
    </w:p>
    <w:p>
      <w:pPr>
        <w:bidi/>
      </w:pPr>
      <w:r>
        <w:rPr>
          <w:rtl/>
        </w:rPr>
        <w:t xml:space="preserve">خيار واحد. ومجموع الأقساط يساوي المبلغ في البند (2)، وهذا حسابكم لا حساب الصفحة.</w:t>
      </w:r>
    </w:p>
  </w:comment>
  <w:comment w:id="4" w:initials="Q" w:author="Qanu" w:date="2026-10-22T00:00:00.000Z">
    <w:p>
      <w:pPr>
        <w:bidi/>
      </w:pPr>
      <w:r>
        <w:rPr>
          <w:b/>
          <w:bCs/>
          <w:rtl/>
        </w:rPr>
        <w:t xml:space="preserve">ملاحظة صياغة</w:t>
      </w:r>
    </w:p>
    <w:p>
      <w:pPr>
        <w:bidi/>
      </w:pPr>
      <w:r>
        <w:rPr>
          <w:rtl/>
        </w:rPr>
        <w:t xml:space="preserve">احذفوا البند إذا لم تريدوا حلول الأجل. والإخطار قبل الدعوى قد يكون له شكل آخر، فانظروا </w:t>
      </w:r>
      <w:hyperlink w:history="1" r:id="rIdn35r58i0s7eknkcz0v_pq">
        <w:r>
          <w:rPr>
            <w:rStyle w:val="Hyperlink"/>
            <w:rtl/>
          </w:rPr>
          <w:t xml:space="preserve">نموذج الإنذار العدلي</w:t>
        </w:r>
      </w:hyperlink>
      <w:r>
        <w:rPr>
          <w:rtl/>
        </w:rPr>
        <w:t xml:space="preserve">.</w:t>
      </w:r>
    </w:p>
  </w:comment>
  <w:comment w:id="5" w:initials="Q" w:author="Qanu" w:date="2026-10-22T00:00:00.000Z">
    <w:p>
      <w:pPr>
        <w:bidi/>
      </w:pPr>
      <w:r>
        <w:rPr>
          <w:b/>
          <w:bCs/>
          <w:rtl/>
        </w:rPr>
        <w:t xml:space="preserve">ملاحظة صياغة</w:t>
      </w:r>
    </w:p>
    <w:p>
      <w:pPr>
        <w:bidi/>
      </w:pPr>
      <w:r>
        <w:rPr>
          <w:rtl/>
        </w:rPr>
        <w:t xml:space="preserve">سمّوا دولة واحدة ومحكمة واحدة. وقواعد الاختصاص الآمرة قد تُقدَّم على هذا الشرط، وذلك قيد مراجعة مع محامٍ في تلك الدولة.</w:t>
      </w:r>
    </w:p>
  </w:comment>
  <w:comment w:id="6" w:initials="Q" w:author="Qanu" w:date="2026-10-22T00:00:00.000Z">
    <w:p>
      <w:pPr>
        <w:bidi/>
      </w:pPr>
      <w:r>
        <w:rPr>
          <w:b/>
          <w:bCs/>
          <w:rtl/>
        </w:rPr>
        <w:t xml:space="preserve">ملاحظة صياغة</w:t>
      </w:r>
    </w:p>
    <w:p>
      <w:pPr>
        <w:bidi/>
      </w:pPr>
      <w:r>
        <w:rPr>
          <w:rtl/>
        </w:rPr>
        <w:t xml:space="preserve">احذفوا الشاهدين إن لم تريدوهما. ولا تقول هذه الصفحة إن الشهود شرط لصحة الإقرار.</w:t>
      </w:r>
    </w:p>
  </w:comment>
  <w:comment w:id="7" w:initials="Q" w:author="Qanu" w:date="2026-10-22T00:00:00.000Z">
    <w:p>
      <w:pPr>
        <w:bidi/>
      </w:pPr>
      <w:r>
        <w:rPr>
          <w:b/>
          <w:bCs/>
          <w:rtl/>
        </w:rPr>
        <w:t xml:space="preserve">ملاحظة صياغة</w:t>
      </w:r>
    </w:p>
    <w:p>
      <w:pPr>
        <w:bidi/>
      </w:pPr>
      <w:r>
        <w:rPr>
          <w:rtl/>
        </w:rPr>
        <w:t xml:space="preserve">خدمة </w:t>
      </w:r>
      <w:hyperlink w:history="1" r:id="rIdxh1gvg2kgr9hmyokl_ruk">
        <w:r>
          <w:rPr>
            <w:rStyle w:val="Hyperlink"/>
            <w:rtl/>
          </w:rPr>
          <w:t xml:space="preserve">الإقرار بسداد دين</w:t>
        </w:r>
      </w:hyperlink>
      <w:r>
        <w:rPr>
          <w:rtl/>
        </w:rPr>
        <w:t xml:space="preserve"> تسجّل أن الدين سُدد.</w:t>
      </w:r>
      <w:r>
        <w:rPr>
          <w:rtl/>
        </w:rPr>
        <w:t xml:space="preserve"> [4]</w:t>
      </w:r>
      <w:r>
        <w:rPr>
          <w:rtl/>
        </w:rPr>
        <w:t xml:space="preserve"> وهي غير هذا الإقرار. و</w:t>
      </w:r>
      <w:hyperlink w:history="1" r:id="rId7n8wztbp4jlvblhrgvzm4">
        <w:r>
          <w:rPr>
            <w:rStyle w:val="Hyperlink"/>
            <w:rtl/>
          </w:rPr>
          <w:t xml:space="preserve">عقد الصلح</w:t>
        </w:r>
      </w:hyperlink>
      <w:r>
        <w:rPr>
          <w:rtl/>
        </w:rPr>
        <w:t xml:space="preserve"> يغلق نزاعاً، ولا ينشئ الدين.</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BM Plex Sans Arabic">
    <w:charset w:val="B2"/>
    <w:family w:val="auto"/>
    <w:pitch w:val="variable"/>
    <w:sig w:usb0="E0002AFF" w:usb1="C000247B" w:usb2="00000009" w:usb3="00000000" w:csb0="000001FF" w:csb1="00000000"/>
    <w:embedRegular r:id="rId1" w:fontKey="{DBF752A3-D645-110A-29DF-22CFD6CBF232}"/>
    <w:embedBold r:id="rId2" w:fontKey="{4E87DEFD-13A3-AEB4-A9F2-E61B7495E27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pPr>
    <w:r>
      <w:rPr>
        <w:color w:val="555555"/>
        <w:sz w:val="16"/>
        <w:szCs w:val="16"/>
        <w:rtl/>
      </w:rPr>
      <w:t xml:space="preserve">CC BY 4.0 · صفحة </w:t>
    </w:r>
    <w:r>
      <w:rPr>
        <w:color w:val="555555"/>
        <w:sz w:val="16"/>
        <w:szCs w:val="16"/>
        <w:rtl/>
      </w:rPr>
      <w:fldChar w:fldCharType="begin"/>
    </w:r>
    <w:r>
      <w:rPr>
        <w:color w:val="555555"/>
        <w:sz w:val="16"/>
        <w:szCs w:val="16"/>
        <w:rtl/>
      </w:rPr>
      <w:instrText xml:space="preserve">PAGE</w:instrText>
    </w:r>
    <w:r>
      <w:rPr>
        <w:color w:val="555555"/>
        <w:sz w:val="16"/>
        <w:szCs w:val="16"/>
        <w:rtl/>
      </w:rPr>
      <w:fldChar w:fldCharType="separate"/>
    </w:r>
    <w:r>
      <w:rPr>
        <w:color w:val="555555"/>
        <w:sz w:val="16"/>
        <w:szCs w:val="16"/>
        <w:rtl/>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pPr>
    <w:r>
      <w:rPr>
        <w:color w:val="555555"/>
        <w:sz w:val="16"/>
        <w:szCs w:val="16"/>
        <w:rtl/>
      </w:rPr>
      <w:t xml:space="preserve">CC BY 4.0 · صفحة </w:t>
    </w:r>
    <w:r>
      <w:rPr>
        <w:color w:val="555555"/>
        <w:sz w:val="16"/>
        <w:szCs w:val="16"/>
        <w:rtl/>
      </w:rPr>
      <w:fldChar w:fldCharType="begin"/>
    </w:r>
    <w:r>
      <w:rPr>
        <w:color w:val="555555"/>
        <w:sz w:val="16"/>
        <w:szCs w:val="16"/>
        <w:rtl/>
      </w:rPr>
      <w:instrText xml:space="preserve">PAGE</w:instrText>
    </w:r>
    <w:r>
      <w:rPr>
        <w:color w:val="555555"/>
        <w:sz w:val="16"/>
        <w:szCs w:val="16"/>
        <w:rtl/>
      </w:rPr>
      <w:fldChar w:fldCharType="separate"/>
    </w:r>
    <w:r>
      <w:rPr>
        <w:color w:val="555555"/>
        <w:sz w:val="16"/>
        <w:szCs w:val="16"/>
        <w:rt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pPr>
    <w:r>
      <w:rPr>
        <w:color w:val="555555"/>
        <w:sz w:val="16"/>
        <w:szCs w:val="16"/>
        <w:rtl/>
      </w:rPr>
      <w:t xml:space="preserve">نموذج استرشادي – ليس استشارة قانونية – قانو – آخر مراجعة 22 أكتوبر 2026 – ‪https://www.qanu.ai/ar/نماذج/نموذج-إقرار-دين‬</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BBBBB" w:sz="4" w:space="4"/>
      </w:pBdr>
      <w:bidi/>
    </w:pPr>
    <w:r>
      <w:rPr>
        <w:color w:val="555555"/>
        <w:sz w:val="16"/>
        <w:szCs w:val="16"/>
        <w:rtl/>
      </w:rPr>
      <w:t xml:space="preserve">نموذج استرشادي – ليس استشارة قانونية – قانو – آخر مراجعة 22 أكتوبر 2026 – ‪https://www.qanu.ai/ar/نماذج/نموذج-إقرار-دين‬</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start="360" w:hanging="260"/>
      </w:pPr>
    </w:lvl>
    <w:lvl w:ilvl="1" w:tentative="1">
      <w:start w:val="1"/>
      <w:numFmt w:val="bullet"/>
      <w:lvlText w:val="◦"/>
      <w:lvlJc w:val="left"/>
      <w:pPr>
        <w:ind w:start="900" w:hanging="260"/>
      </w:pPr>
    </w:lvl>
  </w:abstractNum>
  <w:num w:numId="1">
    <w:abstractNumId w:val="1"/>
    <w:lvlOverride w:ilvl="0">
      <w:startOverride w:val="1"/>
    </w:lvlOverride>
  </w:num>
  <w:num w:numId="2">
    <w:abstractNumId w:val="2"/>
    <w:lvlOverride w:ilvl="0">
      <w:startOverride w:val="1"/>
    </w:lvlOverride>
    <w:lvlOverride w:ilvl="1">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BM Plex Sans Arabic" w:cs="IBM Plex Sans Arabic" w:eastAsia="IBM Plex Sans Arabic" w:hAnsi="IBM Plex Sans Arabic"/>
        <w:sz w:val="21"/>
        <w:szCs w:val="21"/>
        <w:lang w:val="ar-SA" w:bidi="ar-SA"/>
      </w:rPr>
    </w:rPrDefault>
    <w:pPrDefault>
      <w:pPr>
        <w:spacing w:after="120"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120" w:line="240" w:lineRule="auto"/>
    </w:pPr>
    <w:rPr>
      <w:rFonts w:ascii="IBM Plex Sans Arabic" w:cs="IBM Plex Sans Arabic" w:eastAsia="IBM Plex Sans Arabic" w:hAnsi="IBM Plex Sans Arabic"/>
      <w:b/>
      <w:bCs/>
      <w:color w:val="111111"/>
      <w:sz w:val="36"/>
      <w:szCs w:val="36"/>
    </w:rPr>
  </w:style>
  <w:style w:type="paragraph" w:styleId="Heading1">
    <w:name w:val="Heading 1"/>
    <w:basedOn w:val="Normal"/>
    <w:next w:val="Normal"/>
    <w:qFormat/>
    <w:pPr>
      <w:keepNext/>
      <w:spacing w:after="120" w:before="320"/>
    </w:pPr>
    <w:rPr>
      <w:rFonts w:ascii="IBM Plex Sans Arabic" w:cs="IBM Plex Sans Arabic" w:eastAsia="IBM Plex Sans Arabic" w:hAnsi="IBM Plex Sans Arabic"/>
      <w:b/>
      <w:bCs/>
      <w:color w:val="111111"/>
      <w:sz w:val="26"/>
      <w:szCs w:val="26"/>
    </w:rPr>
  </w:style>
  <w:style w:type="paragraph" w:styleId="Heading2">
    <w:name w:val="Heading 2"/>
    <w:basedOn w:val="Normal"/>
    <w:next w:val="Normal"/>
    <w:qFormat/>
    <w:pPr>
      <w:keepNext/>
      <w:spacing w:after="120" w:before="240"/>
    </w:pPr>
    <w:rPr>
      <w:rFonts w:ascii="IBM Plex Sans Arabic" w:cs="IBM Plex Sans Arabic" w:eastAsia="IBM Plex Sans Arabic" w:hAnsi="IBM Plex Sans Arabic"/>
      <w:b/>
      <w:bCs/>
      <w:color w:val="111111"/>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F4E9E"/>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Relationship Id="rIdn35r58i0s7eknkcz0v_pq" Type="http://schemas.openxmlformats.org/officeDocument/2006/relationships/hyperlink" Target="https://www.qanu.ai/ar/%D9%86%D9%85%D8%A7%D8%B0%D8%AC/%D9%86%D9%85%D9%88%D8%B0%D8%AC-%D8%A5%D9%86%D8%B0%D8%A7%D8%B1-%D8%B9%D8%AF%D9%84%D9%8A" TargetMode="External"/><Relationship Id="rIdxh1gvg2kgr9hmyokl_ruk" Type="http://schemas.openxmlformats.org/officeDocument/2006/relationships/hyperlink" Target="https://my.gov.sa/en/services/19814" TargetMode="External"/><Relationship Id="rId7n8wztbp4jlvblhrgvzm4" Type="http://schemas.openxmlformats.org/officeDocument/2006/relationships/hyperlink" Target="https://www.qanu.ai/ar/%D9%86%D9%85%D8%A7%D8%B0%D8%AC/%D9%86%D9%85%D9%88%D8%B0%D8%AC-%D8%B9%D9%82%D8%AF-%D8%B5%D9%84%D8%AD"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theme" Target="theme/theme1.xml"/><Relationship Id="rIdlacfecebifcsoeez5fbtz" Type="http://schemas.openxmlformats.org/officeDocument/2006/relationships/hyperlink" Target="https://laws.boe.gov.sa/BoeLaws/Laws/LawDetails/2716057c-c097-4bad-8e1e-ae1400c678d5/1" TargetMode="External"/><Relationship Id="rIdde6it2ggukny7rswhmrqm" Type="http://schemas.openxmlformats.org/officeDocument/2006/relationships/hyperlink" Target="https://laws.boe.gov.sa/BoeLaws/Laws/LawDetails/67dd54bc-c33a-48c8-8356-b44700a9ab55/1" TargetMode="External"/><Relationship Id="rIdovyjsqb9qu3f9rgk7tuhf" Type="http://schemas.openxmlformats.org/officeDocument/2006/relationships/hyperlink" Target="https://my.gov.sa/en/services/19814" TargetMode="External"/><Relationship Id="rId6hyrccrfvjjgrilvyamnl" Type="http://schemas.openxmlformats.org/officeDocument/2006/relationships/hyperlink" Target="https://www.qanu.ai/ar/%D9%86%D9%85%D8%A7%D8%B0%D8%AC/%D9%86%D9%85%D9%88%D8%B0%D8%AC-%D8%B3%D9%86%D8%AF-%D9%84%D8%A3%D9%85%D8%B1" TargetMode="External"/><Relationship Id="rIdd-8iv2guhupwklf8mysrt" Type="http://schemas.openxmlformats.org/officeDocument/2006/relationships/hyperlink" Target="https://www.qanu.ai/ar/%D9%86%D9%85%D8%A7%D8%B0%D8%AC/%D9%86%D9%85%D9%88%D8%B0%D8%AC-%D8%B5%D8%AD%D9%8A%D9%81%D8%A9-%D8%AF%D8%B9%D9%88%D9%89" TargetMode="External"/><Relationship Id="rIdag6fxyvfag6tndkzz54gk" Type="http://schemas.openxmlformats.org/officeDocument/2006/relationships/hyperlink" Target="https://creativecommons.org/licenses/by/4.0/deed.ar" TargetMode="External"/><Relationship Id="rIduiiknogkmripv4we1watc" Type="http://schemas.openxmlformats.org/officeDocument/2006/relationships/hyperlink" Target="https://laws.boe.gov.sa/BoeLaws/Laws/LawDetails/2716057c-c097-4bad-8e1e-ae1400c678d5/1" TargetMode="External"/><Relationship Id="rIdss113_mu9m6azcgaavghk" Type="http://schemas.openxmlformats.org/officeDocument/2006/relationships/hyperlink" Target="https://laws.boe.gov.sa/BoeLaws/Laws/LawDetails/67dd54bc-c33a-48c8-8356-b44700a9ab55/1" TargetMode="External"/><Relationship Id="rIdn32m6fh5clgqz_pmmnpis" Type="http://schemas.openxmlformats.org/officeDocument/2006/relationships/hyperlink" Target="https://uaelegislation.gov.ae/ar/legislations/1602" TargetMode="External"/><Relationship Id="rId-9jrhs7uy7l2gtpg80cbx" Type="http://schemas.openxmlformats.org/officeDocument/2006/relationships/hyperlink" Target="https://my.gov.sa/en/services/19814" TargetMode="External"/><Relationship Id="rIdt8exkqnekl9xly9-yquiu" Type="http://schemas.openxmlformats.org/officeDocument/2006/relationships/hyperlink" Target="https://nafith.sa/execution_documents/" TargetMode="External"/><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نموذج إقرار دين وتعهد بالسداد</dc:title>
  <dc:creator>Qanu</dc:creator>
  <cp:keywords>إقرار دين, تعهد بالسداد, سند تنفيذي, دول الخليج</cp:keywords>
  <dc:description>هذا نموذج استرشادي وليس استشارة قانونية، ولا ينشئ علاقة محامٍ بموكّل. تتغير قواعد المحاكم وإرشادات الجهات التنظيمية والتشريعات؛ يُرجى الرجوع إلى المصادر الرسمية المرفقة ومراجعة العقد من محامٍ مختص في كل دولة معنية. آخر مراجعة: 22 أكتوبر 2026. احرص على مراجعته من محامٍ مرخّص في دولتك قبل استخدامه، وحيثما كان النموذج أو المنصة الرسمية إلزامياً فهو المعتمد.</dc:description>
  <cp:lastModifiedBy>Qanu</cp:lastModifiedBy>
  <cp:revision>1</cp:revision>
  <dcterms:created xsi:type="dcterms:W3CDTF">2026-10-22T18:15:28.751Z</dcterms:created>
  <dcterms:modified xsi:type="dcterms:W3CDTF">2026-10-22T18:15:28.751Z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cense">
    <vt:lpwstr>https://creativecommons.org/licenses/by/4.0/</vt:lpwstr>
  </property>
  <property fmtid="{D5CDD505-2E9C-101B-9397-08002B2CF9AE}" pid="3" name="Source">
    <vt:lpwstr>https://www.qanu.ai/ar/نماذج/نموذج-إقرار-دين</vt:lpwstr>
  </property>
</Properties>
</file>