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سجّلوا العقد في إيجاري بعقد الإيجار الموحد.</w:t>
      </w:r>
      <w:r>
        <w:rPr>
          <w:rtl/>
        </w:rPr>
        <w:t xml:space="preserve"> عقود الإيجار السكنية في دبي تستخدم </w:t>
      </w:r>
      <w:r>
        <w:rPr>
          <w:b/>
          <w:bCs/>
          <w:rtl/>
        </w:rPr>
        <w:t xml:space="preserve">عقد الإيجار الموحد</w:t>
      </w:r>
      <w:r>
        <w:rPr>
          <w:rtl/>
        </w:rPr>
        <w:t xml:space="preserve"> الصادر عن دائرة الأراضي والأملاك وتُسجَّل في </w:t>
      </w:r>
      <w:r>
        <w:rPr>
          <w:b/>
          <w:bCs/>
          <w:rtl/>
        </w:rPr>
        <w:t xml:space="preserve">إيجاري</w:t>
      </w:r>
      <w:r>
        <w:rPr>
          <w:rtl/>
        </w:rPr>
        <w:t xml:space="preserve">.</w:t>
      </w:r>
      <w:r>
        <w:rPr>
          <w:rtl/>
        </w:rPr>
        <w:t xml:space="preserve"> [2][3]</w:t>
      </w:r>
      <w:r>
        <w:rPr>
          <w:rtl/>
        </w:rPr>
        <w:t xml:space="preserve"> وفي ذلك العقد يُقدَّم النص العربي، ويلتزم المؤجر بتسجيله في إيجاري.</w:t>
      </w:r>
      <w:r>
        <w:rPr>
          <w:rtl/>
        </w:rPr>
        <w:t xml:space="preserve"> [4]</w:t>
      </w:r>
      <w:r>
        <w:rPr>
          <w:rtl/>
        </w:rPr>
        <w:t xml:space="preserve"> ويوجب القانون رقم (26) لسنة 2007 أن يكون الإيجار مكتوباً ومسجَّلاً لدى مؤسسة التنظيم العقاري، ولا تُسمع منازعة على عقد غير مسجَّل (المادة 4).</w:t>
      </w:r>
      <w:r>
        <w:rPr>
          <w:rtl/>
        </w:rPr>
        <w:t xml:space="preserve"> [1]</w:t>
      </w:r>
      <w:r>
        <w:rPr>
          <w:rtl/>
        </w:rPr>
        <w:t xml:space="preserve"> وأبوظبي تستخدم </w:t>
      </w:r>
      <w:r>
        <w:rPr>
          <w:b/>
          <w:bCs/>
          <w:rtl/>
        </w:rPr>
        <w:t xml:space="preserve">توثيق</w:t>
      </w:r>
      <w:r>
        <w:rPr>
          <w:rtl/>
        </w:rPr>
        <w:t xml:space="preserve">. والسعودية تستخدم منصة </w:t>
      </w:r>
      <w:r>
        <w:rPr>
          <w:b/>
          <w:bCs/>
          <w:rtl/>
        </w:rPr>
        <w:t xml:space="preserve">إيجار</w:t>
      </w:r>
      <w:r>
        <w:rPr>
          <w:rtl/>
        </w:rPr>
        <w:t xml:space="preserve">. وهذا الملف قائمة شروط، لا تلك النماذج.</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إيجاري – دائرة الأراضي والأملاك: </w:t>
      </w:r>
      <w:hyperlink w:history="1" r:id="rIddzrn-hiji5qsv0ay5b5kg">
        <w:r>
          <w:rPr>
            <w:rStyle w:val="Hyperlink"/>
            <w:sz w:val="17"/>
            <w:szCs w:val="17"/>
          </w:rPr>
          <w:t xml:space="preserve">‪https://dubailand.gov.ae/en/eservices/register-renew-ejari-contract/‬</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عقد الإيجار الموحد: </w:t>
      </w:r>
      <w:hyperlink w:history="1" r:id="rIdviy7kju5a4271vb0krqgu">
        <w:r>
          <w:rPr>
            <w:rStyle w:val="Hyperlink"/>
            <w:sz w:val="17"/>
            <w:szCs w:val="17"/>
          </w:rPr>
          <w:t xml:space="preserve">‪https://dubailand.gov.ae/en/eservices/ejari-templates/download-unified-ejari-tenancy-contract‬</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عقد الإيجار الموحد (PDF): </w:t>
      </w:r>
      <w:hyperlink w:history="1" r:id="rIdu58wwkvqr_vl-02p37nd6">
        <w:r>
          <w:rPr>
            <w:rStyle w:val="Hyperlink"/>
            <w:sz w:val="17"/>
            <w:szCs w:val="17"/>
          </w:rPr>
          <w:t xml:space="preserve">‪https://dubailand.gov.ae/media/ivuhfjxa/ejari_unified_tenancy_contract.pdf‬</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مؤشر الإيجارات: </w:t>
      </w:r>
      <w:hyperlink w:history="1" r:id="rId_acpbouhxxarpv8s79mx1">
        <w:r>
          <w:rPr>
            <w:rStyle w:val="Hyperlink"/>
            <w:sz w:val="17"/>
            <w:szCs w:val="17"/>
          </w:rPr>
          <w:t xml:space="preserve">‪https://dubailand.gov.ae/en/eservices/rental-index/‬</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أبوظبي:</w:t>
      </w:r>
      <w:r>
        <w:rPr>
          <w:sz w:val="19"/>
          <w:szCs w:val="19"/>
          <w:rtl/>
        </w:rPr>
        <w:t xml:space="preserve"> يُسجَّل العقد في توثيق. والتسجيل لازم قبل إيصال الخدمات.</w:t>
      </w:r>
      <w:r>
        <w:rPr>
          <w:sz w:val="19"/>
          <w:szCs w:val="19"/>
          <w:rtl/>
        </w:rPr>
        <w:t xml:space="preserve"> [7]</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السعودية:</w:t>
      </w:r>
      <w:r>
        <w:rPr>
          <w:sz w:val="19"/>
          <w:szCs w:val="19"/>
          <w:rtl/>
        </w:rPr>
        <w:t xml:space="preserve"> يُسجَّل العقد في منصة إيجار. والعقد غير المسجَّل لا يُنتج آثاره الإدارية والقضائية.</w:t>
      </w:r>
      <w:r>
        <w:rPr>
          <w:sz w:val="19"/>
          <w:szCs w:val="19"/>
          <w:rtl/>
        </w:rPr>
        <w:t xml:space="preserve"> [8][9]</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قطر والبحرين والكويت وعُمان:</w:t>
      </w:r>
      <w:r>
        <w:rPr>
          <w:sz w:val="19"/>
          <w:szCs w:val="19"/>
          <w:rtl/>
        </w:rPr>
        <w:t xml:space="preserve"> قيد المراجعة. لا رقم مادة.</w:t>
      </w:r>
      <w:r>
        <w:rPr>
          <w:sz w:val="19"/>
          <w:szCs w:val="19"/>
          <w:rtl/>
        </w:rPr>
        <w:t xml:space="preserve"> [10][11][12]</w:t>
      </w:r>
    </w:p>
    <w:p>
      <w:pPr>
        <w:bidi/>
        <w:spacing w:after="240"/>
      </w:pPr>
    </w:p>
    <w:p>
      <w:pPr>
        <w:pStyle w:val="Title"/>
        <w:bidi/>
      </w:pPr>
      <w:r>
        <w:rPr>
          <w:rtl/>
        </w:rPr>
        <w:t xml:space="preserve">عقد إيجار دبي</w:t>
      </w:r>
    </w:p>
    <w:p>
      <w:pPr>
        <w:bidi/>
        <w:spacing w:after="240"/>
      </w:pPr>
      <w:r>
        <w:rPr>
          <w:color w:val="444444"/>
          <w:rtl/>
        </w:rPr>
        <w:t xml:space="preserve">قائمة شروط لإيجار سكني في دبي: الطرفان، والعين، والأجرة، والتأمين، والمدة، والإخطار. وهي لا تغني عن عقد الإيجار الموحد المسجَّل في إيجاري.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w:t>
      </w:r>
    </w:p>
    <w:p>
      <w:pPr>
        <w:pStyle w:val="Heading1"/>
        <w:bidi/>
      </w:pPr>
      <w:commentRangeStart w:id="0"/>
      <w:r>
        <w:rPr>
          <w:rtl/>
        </w:rPr>
        <w:t xml:space="preserve">البند (1): الطرفان</w:t>
      </w:r>
      <w:commentRangeEnd w:id="0"/>
      <w:r>
        <w:rPr>
          <w:rtl/>
        </w:rPr>
        <w:commentReference w:id="0"/>
      </w:r>
    </w:p>
    <w:p>
      <w:pPr>
        <w:bidi/>
      </w:pPr>
      <w:r>
        <w:rPr>
          <w:rtl/>
        </w:rPr>
        <w:t xml:space="preserve">المؤجر: </w:t>
      </w:r>
      <w:r>
        <w:rPr>
          <w:highlight w:val="yellow"/>
          <w:rtl/>
        </w:rPr>
        <w:t xml:space="preserve">[</w:t>
      </w:r>
      <w:r>
        <w:rPr>
          <w:highlight w:val="yellow"/>
          <w:rtl/>
        </w:rPr>
        <w:t xml:space="preserve">الاسم</w:t>
      </w:r>
      <w:r>
        <w:rPr>
          <w:highlight w:val="yellow"/>
          <w:rtl/>
        </w:rPr>
        <w:t xml:space="preserve">]</w:t>
      </w:r>
      <w:r>
        <w:rPr>
          <w:rtl/>
        </w:rPr>
        <w:t xml:space="preserve">، رقم الهوية/السجل التجاري </w:t>
      </w:r>
      <w:r>
        <w:rPr>
          <w:highlight w:val="yellow"/>
          <w:rtl/>
        </w:rPr>
        <w:t xml:space="preserve">[</w:t>
      </w:r>
      <w:r>
        <w:rPr>
          <w:highlight w:val="yellow"/>
          <w:rtl/>
        </w:rPr>
        <w:t xml:space="preserve">●</w:t>
      </w:r>
      <w:r>
        <w:rPr>
          <w:highlight w:val="yellow"/>
          <w:rtl/>
        </w:rPr>
        <w:t xml:space="preserve">]</w:t>
      </w:r>
      <w:r>
        <w:rPr>
          <w:rtl/>
        </w:rPr>
        <w:t xml:space="preserve">، العنوان </w:t>
      </w:r>
      <w:r>
        <w:rPr>
          <w:highlight w:val="yellow"/>
          <w:rtl/>
        </w:rPr>
        <w:t xml:space="preserve">[</w:t>
      </w:r>
      <w:r>
        <w:rPr>
          <w:highlight w:val="yellow"/>
          <w:rtl/>
        </w:rPr>
        <w:t xml:space="preserve">●</w:t>
      </w:r>
      <w:r>
        <w:rPr>
          <w:highlight w:val="yellow"/>
          <w:rtl/>
        </w:rPr>
        <w:t xml:space="preserve">]</w:t>
      </w:r>
      <w:r>
        <w:rPr>
          <w:rtl/>
        </w:rPr>
        <w:t xml:space="preserve">، ويمثّله </w:t>
      </w:r>
      <w:r>
        <w:rPr>
          <w:highlight w:val="yellow"/>
          <w:rtl/>
        </w:rPr>
        <w:t xml:space="preserve">[</w:t>
      </w:r>
      <w:r>
        <w:rPr>
          <w:highlight w:val="yellow"/>
          <w:rtl/>
        </w:rPr>
        <w:t xml:space="preserve">●</w:t>
      </w:r>
      <w:r>
        <w:rPr>
          <w:highlight w:val="yellow"/>
          <w:rtl/>
        </w:rPr>
        <w:t xml:space="preserve">]</w:t>
      </w:r>
      <w:r>
        <w:rPr>
          <w:rtl/>
        </w:rPr>
        <w:t xml:space="preserve"> (وإن كان وكيلاً تُرفق الوكالة). المستأجر: </w:t>
      </w:r>
      <w:r>
        <w:rPr>
          <w:highlight w:val="yellow"/>
          <w:rtl/>
        </w:rPr>
        <w:t xml:space="preserve">[</w:t>
      </w:r>
      <w:r>
        <w:rPr>
          <w:highlight w:val="yellow"/>
          <w:rtl/>
        </w:rPr>
        <w:t xml:space="preserve">الاسم</w:t>
      </w:r>
      <w:r>
        <w:rPr>
          <w:highlight w:val="yellow"/>
          <w:rtl/>
        </w:rPr>
        <w:t xml:space="preserve">]</w:t>
      </w:r>
      <w:r>
        <w:rPr>
          <w:rtl/>
        </w:rPr>
        <w:t xml:space="preserve">، رقم الهوية </w:t>
      </w:r>
      <w:r>
        <w:rPr>
          <w:highlight w:val="yellow"/>
          <w:rtl/>
        </w:rPr>
        <w:t xml:space="preserve">[</w:t>
      </w:r>
      <w:r>
        <w:rPr>
          <w:highlight w:val="yellow"/>
          <w:rtl/>
        </w:rPr>
        <w:t xml:space="preserve">●</w:t>
      </w:r>
      <w:r>
        <w:rPr>
          <w:highlight w:val="yellow"/>
          <w:rtl/>
        </w:rPr>
        <w:t xml:space="preserve">]</w:t>
      </w:r>
      <w:r>
        <w:rPr>
          <w:rtl/>
        </w:rPr>
        <w:t xml:space="preserve">، العنوان </w:t>
      </w:r>
      <w:r>
        <w:rPr>
          <w:highlight w:val="yellow"/>
          <w:rtl/>
        </w:rPr>
        <w:t xml:space="preserve">[</w:t>
      </w:r>
      <w:r>
        <w:rPr>
          <w:highlight w:val="yellow"/>
          <w:rtl/>
        </w:rPr>
        <w:t xml:space="preserve">●</w:t>
      </w:r>
      <w:r>
        <w:rPr>
          <w:highlight w:val="yellow"/>
          <w:rtl/>
        </w:rPr>
        <w:t xml:space="preserve">]</w:t>
      </w:r>
      <w:r>
        <w:rPr>
          <w:rtl/>
        </w:rPr>
        <w:t xml:space="preserve">.</w:t>
      </w:r>
    </w:p>
    <w:p>
      <w:pPr>
        <w:pStyle w:val="Heading1"/>
        <w:bidi/>
      </w:pPr>
      <w:commentRangeStart w:id="1"/>
      <w:r>
        <w:rPr>
          <w:rtl/>
        </w:rPr>
        <w:t xml:space="preserve">البند (2): العين والغرض</w:t>
      </w:r>
      <w:commentRangeEnd w:id="1"/>
      <w:r>
        <w:rPr>
          <w:rtl/>
        </w:rPr>
        <w:commentReference w:id="1"/>
      </w:r>
    </w:p>
    <w:p>
      <w:pPr>
        <w:bidi/>
      </w:pPr>
      <w:r>
        <w:rPr>
          <w:highlight w:val="yellow"/>
          <w:rtl/>
        </w:rPr>
        <w:t xml:space="preserve">[</w:t>
      </w:r>
      <w:r>
        <w:rPr>
          <w:highlight w:val="yellow"/>
          <w:rtl/>
        </w:rPr>
        <w:t xml:space="preserve">النوع: شقة/فيلا</w:t>
      </w:r>
      <w:r>
        <w:rPr>
          <w:highlight w:val="yellow"/>
          <w:rtl/>
        </w:rPr>
        <w:t xml:space="preserve">]</w:t>
      </w:r>
      <w:r>
        <w:rPr>
          <w:rtl/>
        </w:rPr>
        <w:t xml:space="preserve">، رقم الوحدة </w:t>
      </w:r>
      <w:r>
        <w:rPr>
          <w:highlight w:val="yellow"/>
          <w:rtl/>
        </w:rPr>
        <w:t xml:space="preserve">[</w:t>
      </w:r>
      <w:r>
        <w:rPr>
          <w:highlight w:val="yellow"/>
          <w:rtl/>
        </w:rPr>
        <w:t xml:space="preserve">●</w:t>
      </w:r>
      <w:r>
        <w:rPr>
          <w:highlight w:val="yellow"/>
          <w:rtl/>
        </w:rPr>
        <w:t xml:space="preserve">]</w:t>
      </w:r>
      <w:r>
        <w:rPr>
          <w:rtl/>
        </w:rPr>
        <w:t xml:space="preserve">، المبنى </w:t>
      </w:r>
      <w:r>
        <w:rPr>
          <w:highlight w:val="yellow"/>
          <w:rtl/>
        </w:rPr>
        <w:t xml:space="preserve">[</w:t>
      </w:r>
      <w:r>
        <w:rPr>
          <w:highlight w:val="yellow"/>
          <w:rtl/>
        </w:rPr>
        <w:t xml:space="preserve">●</w:t>
      </w:r>
      <w:r>
        <w:rPr>
          <w:highlight w:val="yellow"/>
          <w:rtl/>
        </w:rPr>
        <w:t xml:space="preserve">]</w:t>
      </w:r>
      <w:r>
        <w:rPr>
          <w:rtl/>
        </w:rPr>
        <w:t xml:space="preserve">، العنوان </w:t>
      </w:r>
      <w:r>
        <w:rPr>
          <w:highlight w:val="yellow"/>
          <w:rtl/>
        </w:rPr>
        <w:t xml:space="preserve">[</w:t>
      </w:r>
      <w:r>
        <w:rPr>
          <w:highlight w:val="yellow"/>
          <w:rtl/>
        </w:rPr>
        <w:t xml:space="preserve">●</w:t>
      </w:r>
      <w:r>
        <w:rPr>
          <w:highlight w:val="yellow"/>
          <w:rtl/>
        </w:rPr>
        <w:t xml:space="preserve">]</w:t>
      </w:r>
      <w:r>
        <w:rPr>
          <w:rtl/>
        </w:rPr>
        <w:t xml:space="preserve">، رقم صك الملكية </w:t>
      </w:r>
      <w:r>
        <w:rPr>
          <w:highlight w:val="yellow"/>
          <w:rtl/>
        </w:rPr>
        <w:t xml:space="preserve">[</w:t>
      </w:r>
      <w:r>
        <w:rPr>
          <w:highlight w:val="yellow"/>
          <w:rtl/>
        </w:rPr>
        <w:t xml:space="preserve">●</w:t>
      </w:r>
      <w:r>
        <w:rPr>
          <w:highlight w:val="yellow"/>
          <w:rtl/>
        </w:rPr>
        <w:t xml:space="preserve">]</w:t>
      </w:r>
      <w:r>
        <w:rPr>
          <w:rtl/>
        </w:rPr>
        <w:t xml:space="preserve">، المساحة </w:t>
      </w:r>
      <w:r>
        <w:rPr>
          <w:highlight w:val="yellow"/>
          <w:rtl/>
        </w:rPr>
        <w:t xml:space="preserve">[</w:t>
      </w:r>
      <w:r>
        <w:rPr>
          <w:highlight w:val="yellow"/>
          <w:rtl/>
        </w:rPr>
        <w:t xml:space="preserve">●</w:t>
      </w:r>
      <w:r>
        <w:rPr>
          <w:highlight w:val="yellow"/>
          <w:rtl/>
        </w:rPr>
        <w:t xml:space="preserve">]</w:t>
      </w:r>
      <w:r>
        <w:rPr>
          <w:rtl/>
        </w:rPr>
        <w:t xml:space="preserve"> م²، حالة التأثيث </w:t>
      </w:r>
      <w:r>
        <w:rPr>
          <w:highlight w:val="yellow"/>
          <w:rtl/>
        </w:rPr>
        <w:t xml:space="preserve">[</w:t>
      </w:r>
      <w:r>
        <w:rPr>
          <w:highlight w:val="yellow"/>
          <w:rtl/>
        </w:rPr>
        <w:t xml:space="preserve">مؤثثة/غير مؤثثة</w:t>
      </w:r>
      <w:r>
        <w:rPr>
          <w:highlight w:val="yellow"/>
          <w:rtl/>
        </w:rPr>
        <w:t xml:space="preserve">]</w:t>
      </w:r>
      <w:r>
        <w:rPr>
          <w:rtl/>
        </w:rPr>
        <w:t xml:space="preserve">، المواقف </w:t>
      </w:r>
      <w:r>
        <w:rPr>
          <w:highlight w:val="yellow"/>
          <w:rtl/>
        </w:rPr>
        <w:t xml:space="preserve">[</w:t>
      </w:r>
      <w:r>
        <w:rPr>
          <w:highlight w:val="yellow"/>
          <w:rtl/>
        </w:rPr>
        <w:t xml:space="preserve">●</w:t>
      </w:r>
      <w:r>
        <w:rPr>
          <w:highlight w:val="yellow"/>
          <w:rtl/>
        </w:rPr>
        <w:t xml:space="preserve">]</w:t>
      </w:r>
      <w:r>
        <w:rPr>
          <w:rtl/>
        </w:rPr>
        <w:t xml:space="preserve">. وتُؤجَّر العين للسكن فقط للمستأجر وأفراد أسرته </w:t>
      </w:r>
      <w:r>
        <w:rPr>
          <w:highlight w:val="yellow"/>
          <w:rtl/>
        </w:rPr>
        <w:t xml:space="preserve">[</w:t>
      </w:r>
      <w:r>
        <w:rPr>
          <w:highlight w:val="yellow"/>
          <w:rtl/>
        </w:rPr>
        <w:t xml:space="preserve">الأسماء/العدد</w:t>
      </w:r>
      <w:r>
        <w:rPr>
          <w:highlight w:val="yellow"/>
          <w:rtl/>
        </w:rPr>
        <w:t xml:space="preserve">]</w:t>
      </w:r>
      <w:r>
        <w:rPr>
          <w:rtl/>
        </w:rPr>
        <w:t xml:space="preserve">.</w:t>
      </w:r>
    </w:p>
    <w:p>
      <w:pPr>
        <w:pStyle w:val="Heading1"/>
        <w:bidi/>
      </w:pPr>
      <w:commentRangeStart w:id="2"/>
      <w:r>
        <w:rPr>
          <w:rtl/>
        </w:rPr>
        <w:t xml:space="preserve">البند (3): المدة والأجرة والتأمين</w:t>
      </w:r>
      <w:commentRangeEnd w:id="2"/>
      <w:r>
        <w:rPr>
          <w:rtl/>
        </w:rPr>
        <w:commentReference w:id="2"/>
      </w:r>
    </w:p>
    <w:p>
      <w:pPr>
        <w:bidi/>
      </w:pPr>
      <w:r>
        <w:rPr>
          <w:rtl/>
        </w:rPr>
        <w:t xml:space="preserve">المدة: </w:t>
      </w:r>
      <w:r>
        <w:rPr>
          <w:highlight w:val="yellow"/>
          <w:rtl/>
        </w:rPr>
        <w:t xml:space="preserve">[</w:t>
      </w:r>
      <w:r>
        <w:rPr>
          <w:highlight w:val="yellow"/>
          <w:rtl/>
        </w:rPr>
        <w:t xml:space="preserve">●</w:t>
      </w:r>
      <w:r>
        <w:rPr>
          <w:highlight w:val="yellow"/>
          <w:rtl/>
        </w:rPr>
        <w:t xml:space="preserve">]</w:t>
      </w:r>
      <w:r>
        <w:rPr>
          <w:rtl/>
        </w:rPr>
        <w:t xml:space="preserve"> من </w:t>
      </w:r>
      <w:r>
        <w:rPr>
          <w:highlight w:val="yellow"/>
          <w:rtl/>
        </w:rPr>
        <w:t xml:space="preserve">[</w:t>
      </w:r>
      <w:r>
        <w:rPr>
          <w:highlight w:val="yellow"/>
          <w:rtl/>
        </w:rPr>
        <w:t xml:space="preserve">التاريخ</w:t>
      </w:r>
      <w:r>
        <w:rPr>
          <w:highlight w:val="yellow"/>
          <w:rtl/>
        </w:rPr>
        <w:t xml:space="preserve">]</w:t>
      </w:r>
      <w:r>
        <w:rPr>
          <w:rtl/>
        </w:rPr>
        <w:t xml:space="preserve"> إلى </w:t>
      </w:r>
      <w:r>
        <w:rPr>
          <w:highlight w:val="yellow"/>
          <w:rtl/>
        </w:rPr>
        <w:t xml:space="preserve">[</w:t>
      </w:r>
      <w:r>
        <w:rPr>
          <w:highlight w:val="yellow"/>
          <w:rtl/>
        </w:rPr>
        <w:t xml:space="preserve">التاريخ</w:t>
      </w:r>
      <w:r>
        <w:rPr>
          <w:highlight w:val="yellow"/>
          <w:rtl/>
        </w:rPr>
        <w:t xml:space="preserve">]</w:t>
      </w:r>
      <w:r>
        <w:rPr>
          <w:rtl/>
        </w:rPr>
        <w:t xml:space="preserve">. ويجب تحديد مدة الإيجار (القانون رقم 26 لسنة 2007، المادة 5).</w:t>
      </w:r>
    </w:p>
    <w:p>
      <w:pPr>
        <w:bidi/>
      </w:pPr>
      <w:r>
        <w:rPr>
          <w:rtl/>
        </w:rPr>
        <w:t xml:space="preserve">الأجرة السنوية </w:t>
      </w:r>
      <w:r>
        <w:rPr>
          <w:highlight w:val="yellow"/>
          <w:rtl/>
        </w:rPr>
        <w:t xml:space="preserve">[</w:t>
      </w:r>
      <w:r>
        <w:rPr>
          <w:highlight w:val="yellow"/>
          <w:rtl/>
        </w:rPr>
        <w:t xml:space="preserve">المبلغ</w:t>
      </w:r>
      <w:r>
        <w:rPr>
          <w:highlight w:val="yellow"/>
          <w:rtl/>
        </w:rPr>
        <w:t xml:space="preserve">]</w:t>
      </w:r>
      <w:r>
        <w:rPr>
          <w:rtl/>
        </w:rPr>
        <w:t xml:space="preserve">، تُدفع على </w:t>
      </w:r>
      <w:r>
        <w:rPr>
          <w:highlight w:val="yellow"/>
          <w:rtl/>
        </w:rPr>
        <w:t xml:space="preserve">[</w:t>
      </w:r>
      <w:r>
        <w:rPr>
          <w:highlight w:val="yellow"/>
          <w:rtl/>
        </w:rPr>
        <w:t xml:space="preserve">●</w:t>
      </w:r>
      <w:r>
        <w:rPr>
          <w:highlight w:val="yellow"/>
          <w:rtl/>
        </w:rPr>
        <w:t xml:space="preserve">]</w:t>
      </w:r>
      <w:r>
        <w:rPr>
          <w:rtl/>
        </w:rPr>
        <w:t xml:space="preserve"> أقساط في </w:t>
      </w:r>
      <w:r>
        <w:rPr>
          <w:highlight w:val="yellow"/>
          <w:rtl/>
        </w:rPr>
        <w:t xml:space="preserve">[</w:t>
      </w:r>
      <w:r>
        <w:rPr>
          <w:highlight w:val="yellow"/>
          <w:rtl/>
        </w:rPr>
        <w:t xml:space="preserve">التواريخ</w:t>
      </w:r>
      <w:r>
        <w:rPr>
          <w:highlight w:val="yellow"/>
          <w:rtl/>
        </w:rPr>
        <w:t xml:space="preserve">]</w:t>
      </w:r>
      <w:r>
        <w:rPr>
          <w:rtl/>
        </w:rPr>
        <w:t xml:space="preserve"> بطريقة </w:t>
      </w:r>
      <w:r>
        <w:rPr>
          <w:highlight w:val="yellow"/>
          <w:rtl/>
        </w:rPr>
        <w:t xml:space="preserve">[</w:t>
      </w:r>
      <w:r>
        <w:rPr>
          <w:highlight w:val="yellow"/>
          <w:rtl/>
        </w:rPr>
        <w:t xml:space="preserve">●</w:t>
      </w:r>
      <w:r>
        <w:rPr>
          <w:highlight w:val="yellow"/>
          <w:rtl/>
        </w:rPr>
        <w:t xml:space="preserve">]</w:t>
      </w:r>
      <w:r>
        <w:rPr>
          <w:rtl/>
        </w:rPr>
        <w:t xml:space="preserve">. مبلغ التأمين </w:t>
      </w:r>
      <w:r>
        <w:rPr>
          <w:highlight w:val="yellow"/>
          <w:rtl/>
        </w:rPr>
        <w:t xml:space="preserve">[</w:t>
      </w:r>
      <w:r>
        <w:rPr>
          <w:highlight w:val="yellow"/>
          <w:rtl/>
        </w:rPr>
        <w:t xml:space="preserve">المبلغ</w:t>
      </w:r>
      <w:r>
        <w:rPr>
          <w:highlight w:val="yellow"/>
          <w:rtl/>
        </w:rPr>
        <w:t xml:space="preserve">]</w:t>
      </w:r>
      <w:r>
        <w:rPr>
          <w:rtl/>
        </w:rPr>
        <w:t xml:space="preserve">، يُرد خلال </w:t>
      </w:r>
      <w:r>
        <w:rPr>
          <w:highlight w:val="yellow"/>
          <w:rtl/>
        </w:rPr>
        <w:t xml:space="preserve">[</w:t>
      </w:r>
      <w:r>
        <w:rPr>
          <w:highlight w:val="yellow"/>
          <w:rtl/>
        </w:rPr>
        <w:t xml:space="preserve">●</w:t>
      </w:r>
      <w:r>
        <w:rPr>
          <w:highlight w:val="yellow"/>
          <w:rtl/>
        </w:rPr>
        <w:t xml:space="preserve">]</w:t>
      </w:r>
      <w:r>
        <w:rPr>
          <w:rtl/>
        </w:rPr>
        <w:t xml:space="preserve"> يوماً بعد التسليم بعد خصم المبالغ المستحقة الموثَّقة.</w:t>
      </w:r>
    </w:p>
    <w:p>
      <w:pPr>
        <w:pStyle w:val="Heading1"/>
        <w:bidi/>
      </w:pPr>
      <w:commentRangeStart w:id="3"/>
      <w:r>
        <w:rPr>
          <w:rtl/>
        </w:rPr>
        <w:t xml:space="preserve">البند (4): التسجيل في إيجاري</w:t>
      </w:r>
      <w:commentRangeEnd w:id="3"/>
      <w:r>
        <w:rPr>
          <w:rtl/>
        </w:rPr>
        <w:commentReference w:id="3"/>
      </w:r>
    </w:p>
    <w:p>
      <w:pPr>
        <w:bidi/>
      </w:pPr>
      <w:r>
        <w:rPr>
          <w:rtl/>
        </w:rPr>
        <w:t xml:space="preserve">ينشئ المؤجر العقد الرسمي من عقد الإيجار الموحد الصادر عن دائرة الأراضي والأملاك ويسجّله في إيجاري خلال </w:t>
      </w:r>
      <w:r>
        <w:rPr>
          <w:highlight w:val="yellow"/>
          <w:rtl/>
        </w:rPr>
        <w:t xml:space="preserve">[</w:t>
      </w:r>
      <w:r>
        <w:rPr>
          <w:highlight w:val="yellow"/>
          <w:rtl/>
        </w:rPr>
        <w:t xml:space="preserve">●</w:t>
      </w:r>
      <w:r>
        <w:rPr>
          <w:highlight w:val="yellow"/>
          <w:rtl/>
        </w:rPr>
        <w:t xml:space="preserve">]</w:t>
      </w:r>
      <w:r>
        <w:rPr>
          <w:rtl/>
        </w:rPr>
        <w:t xml:space="preserve"> يوماً من التوقيع، ويسلّم المستأجر صورة من شهادة التسجيل.</w:t>
      </w:r>
    </w:p>
    <w:p>
      <w:pPr>
        <w:pStyle w:val="Heading1"/>
        <w:bidi/>
      </w:pPr>
      <w:r>
        <w:rPr>
          <w:rtl/>
        </w:rPr>
        <w:t xml:space="preserve">البند (5): الخدمات والصيانة</w:t>
      </w:r>
    </w:p>
    <w:p>
      <w:pPr>
        <w:bidi/>
      </w:pPr>
      <w:r>
        <w:rPr>
          <w:highlight w:val="yellow"/>
          <w:rtl/>
        </w:rPr>
        <w:t xml:space="preserve">[</w:t>
      </w:r>
      <w:r>
        <w:rPr>
          <w:highlight w:val="yellow"/>
          <w:rtl/>
        </w:rPr>
        <w:t xml:space="preserve">الكهرباء/المياه/التبريد/الإنترنت/رسوم الخدمة</w:t>
      </w:r>
      <w:r>
        <w:rPr>
          <w:highlight w:val="yellow"/>
          <w:rtl/>
        </w:rPr>
        <w:t xml:space="preserve">]</w:t>
      </w:r>
      <w:r>
        <w:rPr>
          <w:rtl/>
        </w:rPr>
        <w:t xml:space="preserve"> يتحملها </w:t>
      </w:r>
      <w:r>
        <w:rPr>
          <w:highlight w:val="yellow"/>
          <w:rtl/>
        </w:rPr>
        <w:t xml:space="preserve">[</w:t>
      </w:r>
      <w:r>
        <w:rPr>
          <w:highlight w:val="yellow"/>
          <w:rtl/>
        </w:rPr>
        <w:t xml:space="preserve">الطرف</w:t>
      </w:r>
      <w:r>
        <w:rPr>
          <w:highlight w:val="yellow"/>
          <w:rtl/>
        </w:rPr>
        <w:t xml:space="preserve">]</w:t>
      </w:r>
      <w:r>
        <w:rPr>
          <w:rtl/>
        </w:rPr>
        <w:t xml:space="preserve">. ويتولى المؤجر </w:t>
      </w:r>
      <w:r>
        <w:rPr>
          <w:highlight w:val="yellow"/>
          <w:rtl/>
        </w:rPr>
        <w:t xml:space="preserve">[</w:t>
      </w:r>
      <w:r>
        <w:rPr>
          <w:highlight w:val="yellow"/>
          <w:rtl/>
        </w:rPr>
        <w:t xml:space="preserve">الإصلاحات الإنشائية/الجسيمة</w:t>
      </w:r>
      <w:r>
        <w:rPr>
          <w:highlight w:val="yellow"/>
          <w:rtl/>
        </w:rPr>
        <w:t xml:space="preserve">]</w:t>
      </w:r>
      <w:r>
        <w:rPr>
          <w:rtl/>
        </w:rPr>
        <w:t xml:space="preserve"> والمستأجر </w:t>
      </w:r>
      <w:r>
        <w:rPr>
          <w:highlight w:val="yellow"/>
          <w:rtl/>
        </w:rPr>
        <w:t xml:space="preserve">[</w:t>
      </w:r>
      <w:r>
        <w:rPr>
          <w:highlight w:val="yellow"/>
          <w:rtl/>
        </w:rPr>
        <w:t xml:space="preserve">الإصلاحات اليسيرة/الدورية</w:t>
      </w:r>
      <w:r>
        <w:rPr>
          <w:highlight w:val="yellow"/>
          <w:rtl/>
        </w:rPr>
        <w:t xml:space="preserve">]</w:t>
      </w:r>
      <w:r>
        <w:rPr>
          <w:rtl/>
        </w:rPr>
        <w:t xml:space="preserve">، وفق </w:t>
      </w:r>
      <w:r>
        <w:rPr>
          <w:highlight w:val="yellow"/>
          <w:rtl/>
        </w:rPr>
        <w:t xml:space="preserve">[</w:t>
      </w:r>
      <w:r>
        <w:rPr>
          <w:highlight w:val="yellow"/>
          <w:rtl/>
        </w:rPr>
        <w:t xml:space="preserve">الجدول</w:t>
      </w:r>
      <w:r>
        <w:rPr>
          <w:highlight w:val="yellow"/>
          <w:rtl/>
        </w:rPr>
        <w:t xml:space="preserve">]</w:t>
      </w:r>
      <w:r>
        <w:rPr>
          <w:rtl/>
        </w:rPr>
        <w:t xml:space="preserve">.</w:t>
      </w:r>
    </w:p>
    <w:p>
      <w:pPr>
        <w:pStyle w:val="Heading1"/>
        <w:bidi/>
      </w:pPr>
      <w:commentRangeStart w:id="4"/>
      <w:r>
        <w:rPr>
          <w:rtl/>
        </w:rPr>
        <w:t xml:space="preserve">البند (6): التعديل والتأجير من الباطن</w:t>
      </w:r>
      <w:commentRangeEnd w:id="4"/>
      <w:r>
        <w:rPr>
          <w:rtl/>
        </w:rPr>
        <w:commentReference w:id="4"/>
      </w:r>
    </w:p>
    <w:p>
      <w:pPr>
        <w:bidi/>
      </w:pPr>
      <w:r>
        <w:rPr>
          <w:rtl/>
        </w:rPr>
        <w:t xml:space="preserve">لا يعدّل المستأجر العين ولا يؤجّرها من الباطن ولا يتنازل عنها إلا بموافقة المؤجر الكتابية المسبقة.</w:t>
      </w:r>
    </w:p>
    <w:p>
      <w:pPr>
        <w:pStyle w:val="Heading1"/>
        <w:bidi/>
      </w:pPr>
      <w:commentRangeStart w:id="5"/>
      <w:r>
        <w:rPr>
          <w:rtl/>
        </w:rPr>
        <w:t xml:space="preserve">البند (7): التجديد والإخطار والإخلاء</w:t>
      </w:r>
      <w:commentRangeEnd w:id="5"/>
      <w:r>
        <w:rPr>
          <w:rtl/>
        </w:rPr>
        <w:commentReference w:id="5"/>
      </w:r>
    </w:p>
    <w:p>
      <w:pPr>
        <w:bidi/>
      </w:pPr>
      <w:r>
        <w:rPr>
          <w:rtl/>
        </w:rPr>
        <w:t xml:space="preserve">من لا يريد التجديد، أو يريد تعديل الشروط، يخطر الآخر كتابة قبل الانتهاء بتسعين يوماً على الأقل (القانون رقم 26 لسنة 2007، المادة 14).</w:t>
      </w:r>
      <w:r>
        <w:rPr>
          <w:rtl/>
        </w:rPr>
        <w:t xml:space="preserve"> ولا ينتهي العقد قبل مدته إلا في الحالات التي يحدّدها القانون النافذ، ومنها حالات الإخلاء في المادة 25، أو وفق ما يُتفق عليه هنا: </w:t>
      </w:r>
      <w:r>
        <w:rPr>
          <w:highlight w:val="yellow"/>
          <w:rtl/>
        </w:rPr>
        <w:t xml:space="preserve">[</w:t>
      </w:r>
      <w:r>
        <w:rPr>
          <w:highlight w:val="yellow"/>
          <w:rtl/>
        </w:rPr>
        <w:t xml:space="preserve">●</w:t>
      </w:r>
      <w:r>
        <w:rPr>
          <w:highlight w:val="yellow"/>
          <w:rtl/>
        </w:rPr>
        <w:t xml:space="preserve">]</w:t>
      </w:r>
      <w:r>
        <w:rPr>
          <w:rtl/>
        </w:rPr>
        <w:t xml:space="preserve">.</w:t>
      </w:r>
    </w:p>
    <w:p>
      <w:pPr>
        <w:pStyle w:val="Heading1"/>
        <w:bidi/>
      </w:pPr>
      <w:commentRangeStart w:id="6"/>
      <w:r>
        <w:rPr>
          <w:rtl/>
        </w:rPr>
        <w:t xml:space="preserve">البند (8): القانون واللغة والتوقيع</w:t>
      </w:r>
      <w:commentRangeEnd w:id="6"/>
      <w:r>
        <w:rPr>
          <w:rtl/>
        </w:rPr>
        <w:commentReference w:id="6"/>
      </w:r>
    </w:p>
    <w:p>
      <w:pPr>
        <w:bidi/>
      </w:pPr>
      <w:r>
        <w:rPr>
          <w:rtl/>
        </w:rPr>
        <w:t xml:space="preserve">يخضع العقد لقوانين إمارة دبي. ولا تُسمع المنازعة على عقد غير مسجَّل (المادة 4).</w:t>
      </w:r>
      <w:r>
        <w:rPr>
          <w:rtl/>
        </w:rPr>
        <w:t xml:space="preserve"> ويحيل عقد الإيجار الموحد المنازعات إلى مركز فض المنازعات الإيجارية.</w:t>
      </w:r>
      <w:r>
        <w:rPr>
          <w:rtl/>
        </w:rPr>
        <w:t xml:space="preserve"> وهو بالعربية والإنجليزية، ويُقدَّم النص العربي.</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المؤجر:</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المستأجر:</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Style w:val="Heading1"/>
        <w:pageBreakBefore/>
        <w:bidi/>
      </w:pPr>
      <w:r>
        <w:rPr>
          <w:rtl/>
        </w:rPr>
        <w:t xml:space="preserve">ملاحظات دبي</w:t>
      </w:r>
    </w:p>
    <w:p>
      <w:pPr>
        <w:bidi/>
      </w:pPr>
      <w:r>
        <w:rPr>
          <w:rtl/>
        </w:rPr>
        <w:t xml:space="preserve">ما يثبته القانون رقم (26) لسنة 2007 والنموذج الموحد.</w:t>
      </w:r>
      <w:r>
        <w:rPr>
          <w:rtl/>
        </w:rPr>
        <w:t xml:space="preserve"> [1][2][3][4]</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يثبته 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التسجيل</w:t>
            </w:r>
          </w:p>
        </w:tc>
        <w:tc>
          <w:tcPr>
            <w:tcMar>
              <w:top w:type="dxa" w:w="80"/>
              <w:left w:type="dxa" w:w="100"/>
              <w:bottom w:type="dxa" w:w="80"/>
              <w:right w:type="dxa" w:w="100"/>
            </w:tcMar>
          </w:tcPr>
          <w:p>
            <w:pPr>
              <w:bidi/>
              <w:spacing w:after="0"/>
            </w:pPr>
            <w:r>
              <w:rPr>
                <w:b w:val="false"/>
                <w:sz w:val="18"/>
                <w:szCs w:val="18"/>
                <w:rtl/>
              </w:rPr>
              <w:t xml:space="preserve">يجب أن يكون الإيجار مكتوباً ومسجَّلاً لدى مؤسسة التنظيم العقاري، ولا تُسمع منازعة على عقد غير مسجَّل (المادة 4). والتسجيل عبر إيجاري.</w:t>
            </w:r>
            <w:r>
              <w:rPr>
                <w:b w:val="false"/>
                <w:sz w:val="18"/>
                <w:szCs w:val="18"/>
                <w:rtl/>
              </w:rPr>
              <w:t xml:space="preserve"> [1][2]</w:t>
            </w:r>
          </w:p>
        </w:tc>
      </w:tr>
      <w:tr>
        <w:trPr>
          <w:cantSplit/>
        </w:trPr>
        <w:tc>
          <w:tcPr>
            <w:tcMar>
              <w:top w:type="dxa" w:w="80"/>
              <w:left w:type="dxa" w:w="100"/>
              <w:bottom w:type="dxa" w:w="80"/>
              <w:right w:type="dxa" w:w="100"/>
            </w:tcMar>
          </w:tcPr>
          <w:p>
            <w:pPr>
              <w:bidi/>
              <w:spacing w:after="0"/>
            </w:pPr>
            <w:r>
              <w:rPr>
                <w:b w:val="false"/>
                <w:sz w:val="18"/>
                <w:szCs w:val="18"/>
                <w:rtl/>
              </w:rPr>
              <w:t xml:space="preserve">المدة والتجديد</w:t>
            </w:r>
          </w:p>
        </w:tc>
        <w:tc>
          <w:tcPr>
            <w:tcMar>
              <w:top w:type="dxa" w:w="80"/>
              <w:left w:type="dxa" w:w="100"/>
              <w:bottom w:type="dxa" w:w="80"/>
              <w:right w:type="dxa" w:w="100"/>
            </w:tcMar>
          </w:tcPr>
          <w:p>
            <w:pPr>
              <w:bidi/>
              <w:spacing w:after="0"/>
            </w:pPr>
            <w:r>
              <w:rPr>
                <w:b w:val="false"/>
                <w:sz w:val="18"/>
                <w:szCs w:val="18"/>
                <w:rtl/>
              </w:rPr>
              <w:t xml:space="preserve">يجب تحديد المدة (المادة 5)، والتجديد في المادة 6.</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الإخطار</w:t>
            </w:r>
          </w:p>
        </w:tc>
        <w:tc>
          <w:tcPr>
            <w:tcMar>
              <w:top w:type="dxa" w:w="80"/>
              <w:left w:type="dxa" w:w="100"/>
              <w:bottom w:type="dxa" w:w="80"/>
              <w:right w:type="dxa" w:w="100"/>
            </w:tcMar>
          </w:tcPr>
          <w:p>
            <w:pPr>
              <w:bidi/>
              <w:spacing w:after="0"/>
            </w:pPr>
            <w:r>
              <w:rPr>
                <w:b w:val="false"/>
                <w:sz w:val="18"/>
                <w:szCs w:val="18"/>
                <w:rtl/>
              </w:rPr>
              <w:t xml:space="preserve">تسعون يوماً قبل الانتهاء لتعديل الشروط أو عدم التجديد (المادة 14).</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الإخلاء</w:t>
            </w:r>
          </w:p>
        </w:tc>
        <w:tc>
          <w:tcPr>
            <w:tcMar>
              <w:top w:type="dxa" w:w="80"/>
              <w:left w:type="dxa" w:w="100"/>
              <w:bottom w:type="dxa" w:w="80"/>
              <w:right w:type="dxa" w:w="100"/>
            </w:tcMar>
          </w:tcPr>
          <w:p>
            <w:pPr>
              <w:bidi/>
              <w:spacing w:after="0"/>
            </w:pPr>
            <w:r>
              <w:rPr>
                <w:b w:val="false"/>
                <w:sz w:val="18"/>
                <w:szCs w:val="18"/>
                <w:rtl/>
              </w:rPr>
              <w:t xml:space="preserve">حالات الإخلاء في المادة 25.</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زيادة الأجرة</w:t>
            </w:r>
          </w:p>
        </w:tc>
        <w:tc>
          <w:tcPr>
            <w:tcMar>
              <w:top w:type="dxa" w:w="80"/>
              <w:left w:type="dxa" w:w="100"/>
              <w:bottom w:type="dxa" w:w="80"/>
              <w:right w:type="dxa" w:w="100"/>
            </w:tcMar>
          </w:tcPr>
          <w:p>
            <w:pPr>
              <w:bidi/>
              <w:spacing w:after="0"/>
            </w:pPr>
            <w:r>
              <w:rPr>
                <w:b w:val="false"/>
                <w:sz w:val="18"/>
                <w:szCs w:val="18"/>
                <w:rtl/>
              </w:rPr>
              <w:t xml:space="preserve">يحكمها القانون والمرسوم رقم 43 لسنة 2013؛ راجعوا مؤشر إيجارات دائرة الأراضي.</w:t>
            </w:r>
            <w:r>
              <w:rPr>
                <w:b w:val="false"/>
                <w:sz w:val="18"/>
                <w:szCs w:val="18"/>
                <w:rtl/>
              </w:rPr>
              <w:t xml:space="preserve"> [4][5]</w:t>
            </w:r>
          </w:p>
        </w:tc>
      </w:tr>
      <w:tr>
        <w:trPr>
          <w:cantSplit/>
        </w:trPr>
        <w:tc>
          <w:tcPr>
            <w:tcMar>
              <w:top w:type="dxa" w:w="80"/>
              <w:left w:type="dxa" w:w="100"/>
              <w:bottom w:type="dxa" w:w="80"/>
              <w:right w:type="dxa" w:w="100"/>
            </w:tcMar>
          </w:tcPr>
          <w:p>
            <w:pPr>
              <w:bidi/>
              <w:spacing w:after="0"/>
            </w:pPr>
            <w:r>
              <w:rPr>
                <w:b w:val="false"/>
                <w:sz w:val="18"/>
                <w:szCs w:val="18"/>
                <w:rtl/>
              </w:rPr>
              <w:t xml:space="preserve">عقد الإيجار الموحد</w:t>
            </w:r>
          </w:p>
        </w:tc>
        <w:tc>
          <w:tcPr>
            <w:tcMar>
              <w:top w:type="dxa" w:w="80"/>
              <w:left w:type="dxa" w:w="100"/>
              <w:bottom w:type="dxa" w:w="80"/>
              <w:right w:type="dxa" w:w="100"/>
            </w:tcMar>
          </w:tcPr>
          <w:p>
            <w:pPr>
              <w:bidi/>
              <w:spacing w:after="0"/>
            </w:pPr>
            <w:r>
              <w:rPr>
                <w:b w:val="false"/>
                <w:sz w:val="18"/>
                <w:szCs w:val="18"/>
                <w:rtl/>
              </w:rPr>
              <w:t xml:space="preserve">يُقدَّم النص العربي؛ ويلتزم المؤجر بالتسجيل في إيجاري؛ ولا يؤجّر المستأجر من الباطن ولا يتنازل إلا بموافقة المؤجر الكتابية.</w:t>
            </w:r>
            <w:r>
              <w:rPr>
                <w:b w:val="false"/>
                <w:sz w:val="18"/>
                <w:szCs w:val="18"/>
                <w:rtl/>
              </w:rPr>
              <w:t xml:space="preserve"> [3][4]</w:t>
            </w:r>
          </w:p>
        </w:tc>
      </w:tr>
      <w:tr>
        <w:trPr>
          <w:cantSplit/>
        </w:trPr>
        <w:tc>
          <w:tcPr>
            <w:tcMar>
              <w:top w:type="dxa" w:w="80"/>
              <w:left w:type="dxa" w:w="100"/>
              <w:bottom w:type="dxa" w:w="80"/>
              <w:right w:type="dxa" w:w="100"/>
            </w:tcMar>
          </w:tcPr>
          <w:p>
            <w:pPr>
              <w:bidi/>
              <w:spacing w:after="0"/>
            </w:pPr>
            <w:r>
              <w:rPr>
                <w:b w:val="false"/>
                <w:sz w:val="18"/>
                <w:szCs w:val="18"/>
                <w:rtl/>
              </w:rPr>
              <w:t xml:space="preserve">الممثّلون</w:t>
            </w:r>
          </w:p>
        </w:tc>
        <w:tc>
          <w:tcPr>
            <w:tcMar>
              <w:top w:type="dxa" w:w="80"/>
              <w:left w:type="dxa" w:w="100"/>
              <w:bottom w:type="dxa" w:w="80"/>
              <w:right w:type="dxa" w:w="100"/>
            </w:tcMar>
          </w:tcPr>
          <w:p>
            <w:pPr>
              <w:bidi/>
              <w:spacing w:after="0"/>
            </w:pPr>
            <w:r>
              <w:rPr>
                <w:b w:val="false"/>
                <w:sz w:val="18"/>
                <w:szCs w:val="18"/>
                <w:rtl/>
              </w:rPr>
              <w:t xml:space="preserve">التسجيل عن طريق ممثّل يقتضي وكالة رسمية.</w:t>
            </w:r>
            <w:r>
              <w:rPr>
                <w:b w:val="false"/>
                <w:sz w:val="18"/>
                <w:szCs w:val="18"/>
                <w:rtl/>
              </w:rPr>
              <w:t xml:space="preserve"> [2]</w:t>
            </w:r>
          </w:p>
        </w:tc>
      </w:tr>
    </w:tbl>
    <w:p>
      <w:pPr>
        <w:bidi/>
      </w:pPr>
    </w:p>
    <w:p>
      <w:pPr>
        <w:pStyle w:val="Heading1"/>
        <w:pageBreakBefore/>
        <w:bidi/>
      </w:pPr>
      <w:r>
        <w:rPr>
          <w:rtl/>
        </w:rPr>
        <w:t xml:space="preserve">أبوظبي والسعودية وبقية الخليج</w:t>
      </w:r>
    </w:p>
    <w:p>
      <w:pPr>
        <w:bidi/>
      </w:pPr>
      <w:r>
        <w:rPr>
          <w:rtl/>
        </w:rPr>
        <w:t xml:space="preserve">هذه القيود ليست هذا النموذج.</w:t>
      </w:r>
      <w:r>
        <w:rPr>
          <w:rtl/>
        </w:rPr>
        <w:t xml:space="preserve"> [7][6][8][9]</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المكان</w:t>
            </w:r>
          </w:p>
        </w:tc>
        <w:tc>
          <w:tcPr>
            <w:shd w:fill="EDEDED" w:color="auto" w:val="clear"/>
            <w:tcMar>
              <w:top w:type="dxa" w:w="80"/>
              <w:left w:type="dxa" w:w="100"/>
              <w:bottom w:type="dxa" w:w="80"/>
              <w:right w:type="dxa" w:w="100"/>
            </w:tcMar>
          </w:tcPr>
          <w:p>
            <w:pPr>
              <w:bidi/>
              <w:spacing w:after="0"/>
            </w:pPr>
            <w:r>
              <w:rPr>
                <w:b/>
                <w:bCs/>
                <w:sz w:val="18"/>
                <w:szCs w:val="18"/>
                <w:rtl/>
              </w:rPr>
              <w:t xml:space="preserve">ما يُعمل به</w:t>
            </w:r>
          </w:p>
        </w:tc>
      </w:tr>
      <w:tr>
        <w:trPr>
          <w:cantSplit/>
        </w:trPr>
        <w:tc>
          <w:tcPr>
            <w:tcMar>
              <w:top w:type="dxa" w:w="80"/>
              <w:left w:type="dxa" w:w="100"/>
              <w:bottom w:type="dxa" w:w="80"/>
              <w:right w:type="dxa" w:w="100"/>
            </w:tcMar>
          </w:tcPr>
          <w:p>
            <w:pPr>
              <w:bidi/>
              <w:spacing w:after="0"/>
            </w:pPr>
            <w:r>
              <w:rPr>
                <w:b w:val="false"/>
                <w:sz w:val="18"/>
                <w:szCs w:val="18"/>
                <w:rtl/>
              </w:rPr>
              <w:t xml:space="preserve">أبوظبي</w:t>
            </w:r>
          </w:p>
        </w:tc>
        <w:tc>
          <w:tcPr>
            <w:tcMar>
              <w:top w:type="dxa" w:w="80"/>
              <w:left w:type="dxa" w:w="100"/>
              <w:bottom w:type="dxa" w:w="80"/>
              <w:right w:type="dxa" w:w="100"/>
            </w:tcMar>
          </w:tcPr>
          <w:p>
            <w:pPr>
              <w:bidi/>
              <w:spacing w:after="0"/>
            </w:pPr>
            <w:r>
              <w:rPr>
                <w:b w:val="false"/>
                <w:sz w:val="18"/>
                <w:szCs w:val="18"/>
                <w:rtl/>
              </w:rPr>
              <w:t xml:space="preserve">توثيق. يسجّل المؤجر أو مدير العقار على النموذج المعتمد، والتسجيل لازم قبل إيصال الخدمات.</w:t>
            </w:r>
            <w:r>
              <w:rPr>
                <w:b w:val="false"/>
                <w:sz w:val="18"/>
                <w:szCs w:val="18"/>
                <w:rtl/>
              </w:rPr>
              <w:t xml:space="preserve"> [7]</w:t>
            </w:r>
            <w:r>
              <w:rPr>
                <w:b w:val="false"/>
                <w:sz w:val="18"/>
                <w:szCs w:val="18"/>
                <w:rtl/>
              </w:rPr>
              <w:t xml:space="preserve"> والقانون رقم (20) لسنة 2006 وتعديلاته منشور لدى مركز أبوظبي العقاري.</w:t>
            </w:r>
            <w:r>
              <w:rPr>
                <w:b w:val="false"/>
                <w:sz w:val="18"/>
                <w:szCs w:val="18"/>
                <w:rtl/>
              </w:rPr>
              <w:t xml:space="preserve"> [6]</w:t>
            </w:r>
          </w:p>
        </w:tc>
      </w:tr>
      <w:tr>
        <w:trPr>
          <w:cantSplit/>
        </w:trPr>
        <w:tc>
          <w:tcPr>
            <w:tcMar>
              <w:top w:type="dxa" w:w="80"/>
              <w:left w:type="dxa" w:w="100"/>
              <w:bottom w:type="dxa" w:w="80"/>
              <w:right w:type="dxa" w:w="100"/>
            </w:tcMar>
          </w:tcPr>
          <w:p>
            <w:pPr>
              <w:bidi/>
              <w:spacing w:after="0"/>
            </w:pPr>
            <w:r>
              <w:rPr>
                <w:b w:val="false"/>
                <w:sz w:val="18"/>
                <w:szCs w:val="18"/>
                <w:rtl/>
              </w:rPr>
              <w:t xml:space="preserve">السعودية</w:t>
            </w:r>
          </w:p>
        </w:tc>
        <w:tc>
          <w:tcPr>
            <w:tcMar>
              <w:top w:type="dxa" w:w="80"/>
              <w:left w:type="dxa" w:w="100"/>
              <w:bottom w:type="dxa" w:w="80"/>
              <w:right w:type="dxa" w:w="100"/>
            </w:tcMar>
          </w:tcPr>
          <w:p>
            <w:pPr>
              <w:bidi/>
              <w:spacing w:after="0"/>
            </w:pPr>
            <w:r>
              <w:rPr>
                <w:b w:val="false"/>
                <w:sz w:val="18"/>
                <w:szCs w:val="18"/>
                <w:rtl/>
              </w:rPr>
              <w:t xml:space="preserve">منصة إيجار. والعقد غير المسجَّل لا يُنتج آثاره الإدارية والقضائية. والعقد الإلكتروني سند تنفيذي.</w:t>
            </w:r>
            <w:r>
              <w:rPr>
                <w:b w:val="false"/>
                <w:sz w:val="18"/>
                <w:szCs w:val="18"/>
                <w:rtl/>
              </w:rPr>
              <w:t xml:space="preserve"> [8][9]</w:t>
            </w:r>
          </w:p>
        </w:tc>
      </w:tr>
      <w:tr>
        <w:trPr>
          <w:cantSplit/>
        </w:trPr>
        <w:tc>
          <w:tcPr>
            <w:tcMar>
              <w:top w:type="dxa" w:w="80"/>
              <w:left w:type="dxa" w:w="100"/>
              <w:bottom w:type="dxa" w:w="80"/>
              <w:right w:type="dxa" w:w="100"/>
            </w:tcMar>
          </w:tcPr>
          <w:p>
            <w:pPr>
              <w:bidi/>
              <w:spacing w:after="0"/>
            </w:pPr>
            <w:r>
              <w:rPr>
                <w:b w:val="false"/>
                <w:sz w:val="18"/>
                <w:szCs w:val="18"/>
                <w:rtl/>
              </w:rPr>
              <w:t xml:space="preserve">قطر والبحرين والكويت وعُمان</w:t>
            </w:r>
          </w:p>
        </w:tc>
        <w:tc>
          <w:tcPr>
            <w:tcMar>
              <w:top w:type="dxa" w:w="80"/>
              <w:left w:type="dxa" w:w="100"/>
              <w:bottom w:type="dxa" w:w="80"/>
              <w:right w:type="dxa" w:w="100"/>
            </w:tcMar>
          </w:tcPr>
          <w:p>
            <w:pPr>
              <w:bidi/>
              <w:spacing w:after="0"/>
            </w:pPr>
            <w:r>
              <w:rPr>
                <w:b w:val="false"/>
                <w:sz w:val="18"/>
                <w:szCs w:val="18"/>
                <w:rtl/>
              </w:rPr>
              <w:t xml:space="preserve">قيد المراجعة. لا رقم مادة.</w:t>
            </w:r>
            <w:r>
              <w:rPr>
                <w:b w:val="false"/>
                <w:sz w:val="18"/>
                <w:szCs w:val="18"/>
                <w:rtl/>
              </w:rPr>
              <w:t xml:space="preserve"> [10][11][12]</w:t>
            </w:r>
          </w:p>
        </w:tc>
      </w:tr>
    </w:tbl>
    <w:p>
      <w:pPr>
        <w:bidi/>
      </w:pP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29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bt6takzq592tbkrhomgz5">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‪https://www.qanu.ai/ar/نماذج/نموذج-عقد-إيجار-دبي‬ · آخر مراجعة: 29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بوابة تشريعات دبي، القانون رقم (26) لسنة 2007 بشأن تنظيم العلاقة بين مؤجري ومستأجري العقارات في إمارة دبي (PDF) </w:t>
      </w:r>
      <w:hyperlink w:history="1" r:id="rId7jihns4tdcyc0iium7yet">
        <w:r>
          <w:rPr>
            <w:rStyle w:val="Hyperlink"/>
            <w:sz w:val="16"/>
            <w:szCs w:val="16"/>
          </w:rPr>
          <w:t xml:space="preserve">https://dlp.dubai.gov.ae/Legislation%20Reference/2007/Law%20No.%20(26)%20of%202007.pdf</w:t>
        </w:r>
      </w:hyperlink>
    </w:p>
    <w:p>
      <w:pPr>
        <w:bidi/>
        <w:ind w:start="360" w:hanging="360"/>
      </w:pPr>
      <w:r>
        <w:rPr>
          <w:sz w:val="18"/>
          <w:szCs w:val="18"/>
          <w:rtl/>
        </w:rPr>
        <w:t xml:space="preserve">[2] دائرة الأراضي والأملاك في دبي، تسجيل عقد إيجاري أو تجديده </w:t>
      </w:r>
      <w:hyperlink w:history="1" r:id="rIdvrdb97kw8kfg0prkr8tex">
        <w:r>
          <w:rPr>
            <w:rStyle w:val="Hyperlink"/>
            <w:sz w:val="16"/>
            <w:szCs w:val="16"/>
          </w:rPr>
          <w:t xml:space="preserve">https://dubailand.gov.ae/en/eservices/register-renew-ejari-contract/</w:t>
        </w:r>
      </w:hyperlink>
    </w:p>
    <w:p>
      <w:pPr>
        <w:bidi/>
        <w:ind w:start="360" w:hanging="360"/>
      </w:pPr>
      <w:r>
        <w:rPr>
          <w:sz w:val="18"/>
          <w:szCs w:val="18"/>
          <w:rtl/>
        </w:rPr>
        <w:t xml:space="preserve">[3] دائرة الأراضي والأملاك في دبي، تنزيل عقد الإيجار الموحد (إيجاري) </w:t>
      </w:r>
      <w:hyperlink w:history="1" r:id="rIddo4ab8ptwe94gfgelmj5p">
        <w:r>
          <w:rPr>
            <w:rStyle w:val="Hyperlink"/>
            <w:sz w:val="16"/>
            <w:szCs w:val="16"/>
          </w:rPr>
          <w:t xml:space="preserve">https://dubailand.gov.ae/en/eservices/ejari-templates/download-unified-ejari-tenancy-contract</w:t>
        </w:r>
      </w:hyperlink>
    </w:p>
    <w:p>
      <w:pPr>
        <w:bidi/>
        <w:ind w:start="360" w:hanging="360"/>
      </w:pPr>
      <w:r>
        <w:rPr>
          <w:sz w:val="18"/>
          <w:szCs w:val="18"/>
          <w:rtl/>
        </w:rPr>
        <w:t xml:space="preserve">[4] دائرة الأراضي والأملاك في دبي، عقد الإيجار الموحد (PDF، بالعربية والإنجليزية) </w:t>
      </w:r>
      <w:hyperlink w:history="1" r:id="rId68foueuncvkdu7xretcio">
        <w:r>
          <w:rPr>
            <w:rStyle w:val="Hyperlink"/>
            <w:sz w:val="16"/>
            <w:szCs w:val="16"/>
          </w:rPr>
          <w:t xml:space="preserve">https://dubailand.gov.ae/media/ivuhfjxa/ejari_unified_tenancy_contract.pdf</w:t>
        </w:r>
      </w:hyperlink>
    </w:p>
    <w:p>
      <w:pPr>
        <w:bidi/>
        <w:ind w:start="360" w:hanging="360"/>
      </w:pPr>
      <w:r>
        <w:rPr>
          <w:sz w:val="18"/>
          <w:szCs w:val="18"/>
          <w:rtl/>
        </w:rPr>
        <w:t xml:space="preserve">[5] دائرة الأراضي والأملاك في دبي، مؤشر الإيجارات </w:t>
      </w:r>
      <w:hyperlink w:history="1" r:id="rIddcq498ersjpd4ewsyfozc">
        <w:r>
          <w:rPr>
            <w:rStyle w:val="Hyperlink"/>
            <w:sz w:val="16"/>
            <w:szCs w:val="16"/>
          </w:rPr>
          <w:t xml:space="preserve">https://dubailand.gov.ae/en/eservices/rental-index/</w:t>
        </w:r>
      </w:hyperlink>
    </w:p>
    <w:p>
      <w:pPr>
        <w:bidi/>
        <w:ind w:start="360" w:hanging="360"/>
      </w:pPr>
      <w:r>
        <w:rPr>
          <w:sz w:val="18"/>
          <w:szCs w:val="18"/>
          <w:rtl/>
        </w:rPr>
        <w:t xml:space="preserve">[6] مركز أبوظبي العقاري، أنظمة الإيجار وقوانينه </w:t>
      </w:r>
      <w:hyperlink w:history="1" r:id="rId2mxr1jxqz6aemn_n1zkme">
        <w:r>
          <w:rPr>
            <w:rStyle w:val="Hyperlink"/>
            <w:sz w:val="16"/>
            <w:szCs w:val="16"/>
          </w:rPr>
          <w:t xml:space="preserve">https://adrec.gov.ae/en/rules_and_regulations/tenancy</w:t>
        </w:r>
      </w:hyperlink>
    </w:p>
    <w:p>
      <w:pPr>
        <w:bidi/>
        <w:ind w:start="360" w:hanging="360"/>
      </w:pPr>
      <w:r>
        <w:rPr>
          <w:sz w:val="18"/>
          <w:szCs w:val="18"/>
          <w:rtl/>
        </w:rPr>
        <w:t xml:space="preserve">[7] منصة تم (حكومة أبوظبي)، إرشادات تسجيل عقود الإيجار (توثيق) </w:t>
      </w:r>
      <w:hyperlink w:history="1" r:id="rIdynhyu3ro9uxfwx1kae7e3">
        <w:r>
          <w:rPr>
            <w:rStyle w:val="Hyperlink"/>
            <w:sz w:val="16"/>
            <w:szCs w:val="16"/>
          </w:rPr>
          <w:t xml:space="preserve">https://www.tamm.abudhabi/en/articles/lease-registration-guidelines</w:t>
        </w:r>
      </w:hyperlink>
    </w:p>
    <w:p>
      <w:pPr>
        <w:bidi/>
        <w:ind w:start="360" w:hanging="360"/>
      </w:pPr>
      <w:r>
        <w:rPr>
          <w:sz w:val="18"/>
          <w:szCs w:val="18"/>
          <w:rtl/>
        </w:rPr>
        <w:t xml:space="preserve">[8] منصة إيجار، الأسئلة الشائعة التنظيمية (قرار مجلس الوزراء رقم 292 وتاريخ 16/5/1438هـ) </w:t>
      </w:r>
      <w:hyperlink w:history="1" r:id="rId2fiktbn12xtshctcuyns3">
        <w:r>
          <w:rPr>
            <w:rStyle w:val="Hyperlink"/>
            <w:sz w:val="16"/>
            <w:szCs w:val="16"/>
          </w:rPr>
          <w:t xml:space="preserve">https://www.ejar.sa/ar/faqregulation</w:t>
        </w:r>
      </w:hyperlink>
    </w:p>
    <w:p>
      <w:pPr>
        <w:bidi/>
        <w:ind w:start="360" w:hanging="360"/>
      </w:pPr>
      <w:r>
        <w:rPr>
          <w:sz w:val="18"/>
          <w:szCs w:val="18"/>
          <w:rtl/>
        </w:rPr>
        <w:t xml:space="preserve">[9] منصة إيجار، خدمة عقد الإيجار الإلكتروني </w:t>
      </w:r>
      <w:hyperlink w:history="1" r:id="rIdrcby4qbac7uveq9zj4fi9">
        <w:r>
          <w:rPr>
            <w:rStyle w:val="Hyperlink"/>
            <w:sz w:val="16"/>
            <w:szCs w:val="16"/>
          </w:rPr>
          <w:t xml:space="preserve">https://www.ejar.sa/en/service/355294</w:t>
        </w:r>
      </w:hyperlink>
    </w:p>
    <w:p>
      <w:pPr>
        <w:bidi/>
        <w:ind w:start="360" w:hanging="360"/>
      </w:pPr>
      <w:r>
        <w:rPr>
          <w:sz w:val="18"/>
          <w:szCs w:val="18"/>
          <w:rtl/>
        </w:rPr>
        <w:t xml:space="preserve">[10] الميزان – البوابة القانونية القطرية، القانون رقم (4) لسنة 2008 بشأن إيجار العقارات </w:t>
      </w:r>
      <w:hyperlink w:history="1" r:id="rIdmwk2ylnyhrhn2slde4zgf">
        <w:r>
          <w:rPr>
            <w:rStyle w:val="Hyperlink"/>
            <w:sz w:val="16"/>
            <w:szCs w:val="16"/>
          </w:rPr>
          <w:t xml:space="preserve">https://www.almeezan.qa/LawArticles.aspx?LawArticleID=75041&amp;language=ar&amp;lawId=3982</w:t>
        </w:r>
      </w:hyperlink>
    </w:p>
    <w:p>
      <w:pPr>
        <w:bidi/>
        <w:ind w:start="360" w:hanging="360"/>
      </w:pPr>
      <w:r>
        <w:rPr>
          <w:sz w:val="18"/>
          <w:szCs w:val="18"/>
          <w:rtl/>
        </w:rPr>
        <w:t xml:space="preserve">[11] البوابة الوطنية للحكومة الإلكترونية في البحرين، خدمة تسجيل عقود الإيجار </w:t>
      </w:r>
      <w:hyperlink w:history="1" r:id="rId5dbpkxmfpbtzrdrp7j8gv">
        <w:r>
          <w:rPr>
            <w:rStyle w:val="Hyperlink"/>
            <w:sz w:val="16"/>
            <w:szCs w:val="16"/>
          </w:rPr>
          <w:t xml:space="preserve">https://services.bahrain.bh/wps/portal/LeaseContractReg_ar</w:t>
        </w:r>
      </w:hyperlink>
    </w:p>
    <w:p>
      <w:pPr>
        <w:bidi/>
        <w:ind w:start="360" w:hanging="360"/>
      </w:pPr>
      <w:r>
        <w:rPr>
          <w:sz w:val="18"/>
          <w:szCs w:val="18"/>
          <w:rtl/>
        </w:rPr>
        <w:t xml:space="preserve">[12] بلدية مسقط، بوابة الخدمات الإلكترونية </w:t>
      </w:r>
      <w:hyperlink w:history="1" r:id="rId34j9ezkkoxobfuehxhs8d">
        <w:r>
          <w:rPr>
            <w:rStyle w:val="Hyperlink"/>
            <w:sz w:val="16"/>
            <w:szCs w:val="16"/>
          </w:rPr>
          <w:t xml:space="preserve">https://eservices.mm.gov.om/</w:t>
        </w:r>
      </w:hyperlink>
    </w:p>
    <w:p>
      <w:pPr>
        <w:bidi/>
        <w:ind w:start="360" w:hanging="360"/>
      </w:pPr>
      <w:r>
        <w:rPr>
          <w:sz w:val="18"/>
          <w:szCs w:val="18"/>
          <w:rtl/>
        </w:rPr>
        <w:t xml:space="preserve">[13] تشريعات الإمارات، مرسوم بقانون اتحادي رقم (25) لسنة 2025 (قانون المعاملات المدنية) </w:t>
      </w:r>
      <w:hyperlink w:history="1" r:id="rIdccdixjynhrdqth7rghqdg">
        <w:r>
          <w:rPr>
            <w:rStyle w:val="Hyperlink"/>
            <w:sz w:val="16"/>
            <w:szCs w:val="16"/>
          </w:rPr>
          <w:t xml:space="preserve">https://uaelegislation.gov.ae/en/legislations/4011</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9T00:00:00.000Z">
    <w:p>
      <w:pPr>
        <w:bidi/>
      </w:pPr>
      <w:r>
        <w:rPr>
          <w:b/>
          <w:bCs/>
          <w:rtl/>
        </w:rPr>
        <w:t xml:space="preserve">ملاحظة صياغة</w:t>
      </w:r>
    </w:p>
    <w:p>
      <w:pPr>
        <w:bidi/>
      </w:pPr>
      <w:r>
        <w:rPr>
          <w:rtl/>
        </w:rPr>
        <w:t xml:space="preserve">إذا وقّع وكيل فأرفقوا </w:t>
      </w:r>
      <w:hyperlink w:history="1" r:id="rIdimsno0clkgnhnxbhrozjx">
        <w:r>
          <w:rPr>
            <w:rStyle w:val="Hyperlink"/>
            <w:rtl/>
          </w:rPr>
          <w:t xml:space="preserve">الوكالة</w:t>
        </w:r>
      </w:hyperlink>
      <w:r>
        <w:rPr>
          <w:rtl/>
        </w:rPr>
        <w:t xml:space="preserve">. ويُشترط لتسجيل عقد إيجاري عن طريق ممثّل تقديم وكالة رسمية.</w:t>
      </w:r>
      <w:r>
        <w:rPr>
          <w:rtl/>
        </w:rPr>
        <w:t xml:space="preserve"> [2]</w:t>
      </w:r>
      <w:r>
        <w:rPr>
          <w:rtl/>
        </w:rPr>
        <w:t xml:space="preserve"> وانظروا </w:t>
      </w:r>
      <w:hyperlink w:history="1" r:id="rIdl8nmxrh26jczw4yaf8gr-">
        <w:r>
          <w:rPr>
            <w:rStyle w:val="Hyperlink"/>
            <w:rtl/>
          </w:rPr>
          <w:t xml:space="preserve">الكاتب العدل</w:t>
        </w:r>
      </w:hyperlink>
      <w:r>
        <w:rPr>
          <w:rtl/>
        </w:rPr>
        <w:t xml:space="preserve">. وإن كان المؤجر شركة فدوّنوا رقم </w:t>
      </w:r>
      <w:hyperlink w:history="1" r:id="rId6xal5rcd9ahqht0nczkup">
        <w:r>
          <w:rPr>
            <w:rStyle w:val="Hyperlink"/>
            <w:rtl/>
          </w:rPr>
          <w:t xml:space="preserve">السجل التجاري</w:t>
        </w:r>
      </w:hyperlink>
      <w:r>
        <w:rPr>
          <w:rtl/>
        </w:rPr>
        <w:t xml:space="preserve">.</w:t>
      </w:r>
    </w:p>
  </w:comment>
  <w:comment w:id="1" w:initials="Q" w:author="Qanu" w:date="2026-10-29T00:00:00.000Z">
    <w:p>
      <w:pPr>
        <w:bidi/>
      </w:pPr>
      <w:r>
        <w:rPr>
          <w:b/>
          <w:bCs/>
          <w:rtl/>
        </w:rPr>
        <w:t xml:space="preserve">ملاحظة صياغة</w:t>
      </w:r>
    </w:p>
    <w:p>
      <w:pPr>
        <w:bidi/>
      </w:pPr>
      <w:r>
        <w:rPr>
          <w:rtl/>
        </w:rPr>
        <w:t xml:space="preserve">للسكن فقط. ولا يشمل النموذج الإيجار التجاري.</w:t>
      </w:r>
    </w:p>
  </w:comment>
  <w:comment w:id="2" w:initials="Q" w:author="Qanu" w:date="2026-10-29T00:00:00.000Z">
    <w:p>
      <w:pPr>
        <w:bidi/>
      </w:pPr>
      <w:r>
        <w:rPr>
          <w:b/>
          <w:bCs/>
          <w:rtl/>
        </w:rPr>
        <w:t xml:space="preserve">ملاحظة صياغة</w:t>
      </w:r>
    </w:p>
    <w:p>
      <w:pPr>
        <w:bidi/>
      </w:pPr>
      <w:r>
        <w:rPr>
          <w:rtl/>
        </w:rPr>
        <w:t xml:space="preserve">زيادة الأجرة يحكمها القانون والمرسوم رقم 43 لسنة 2013. راجعوا مؤشر إيجارات دائرة الأراضي لا رقماً ثابتاً.</w:t>
      </w:r>
      <w:r>
        <w:rPr>
          <w:rtl/>
        </w:rPr>
        <w:t xml:space="preserve"> [4][5]</w:t>
      </w:r>
    </w:p>
  </w:comment>
  <w:comment w:id="3" w:initials="Q" w:author="Qanu" w:date="2026-10-29T00:00:00.000Z">
    <w:p>
      <w:pPr>
        <w:bidi/>
      </w:pPr>
      <w:r>
        <w:rPr>
          <w:b/>
          <w:bCs/>
          <w:rtl/>
        </w:rPr>
        <w:t xml:space="preserve">ملاحظة صياغة</w:t>
      </w:r>
    </w:p>
    <w:p>
      <w:pPr>
        <w:bidi/>
      </w:pPr>
      <w:r>
        <w:rPr>
          <w:rtl/>
        </w:rPr>
        <w:t xml:space="preserve">يجب أن يكون الإيجار مكتوباً ومسجَّلاً (المادة 4). وفي عقد الإيجار الموحد يلتزم المؤجر بالتسجيل في إيجاري.</w:t>
      </w:r>
      <w:r>
        <w:rPr>
          <w:rtl/>
        </w:rPr>
        <w:t xml:space="preserve"> [1][4]</w:t>
      </w:r>
      <w:r>
        <w:rPr>
          <w:rtl/>
        </w:rPr>
        <w:t xml:space="preserve"> وهذه القائمة لا تغني عن ذلك النموذج.</w:t>
      </w:r>
    </w:p>
  </w:comment>
  <w:comment w:id="4" w:initials="Q" w:author="Qanu" w:date="2026-10-29T00:00:00.000Z">
    <w:p>
      <w:pPr>
        <w:bidi/>
      </w:pPr>
      <w:r>
        <w:rPr>
          <w:b/>
          <w:bCs/>
          <w:rtl/>
        </w:rPr>
        <w:t xml:space="preserve">ملاحظة صياغة</w:t>
      </w:r>
    </w:p>
    <w:p>
      <w:pPr>
        <w:bidi/>
      </w:pPr>
      <w:r>
        <w:rPr>
          <w:rtl/>
        </w:rPr>
        <w:t xml:space="preserve">لعقد الإيجار الموحد في دبي شرط مماثل.</w:t>
      </w:r>
      <w:r>
        <w:rPr>
          <w:rtl/>
        </w:rPr>
        <w:t xml:space="preserve"> [4]</w:t>
      </w:r>
    </w:p>
  </w:comment>
  <w:comment w:id="5" w:initials="Q" w:author="Qanu" w:date="2026-10-29T00:00:00.000Z">
    <w:p>
      <w:pPr>
        <w:bidi/>
      </w:pPr>
      <w:r>
        <w:rPr>
          <w:b/>
          <w:bCs/>
          <w:rtl/>
        </w:rPr>
        <w:t xml:space="preserve">ملاحظة صياغة</w:t>
      </w:r>
    </w:p>
    <w:p>
      <w:pPr>
        <w:bidi/>
      </w:pPr>
      <w:r>
        <w:rPr>
          <w:rtl/>
        </w:rPr>
        <w:t xml:space="preserve">التجديد في المادة 6.</w:t>
      </w:r>
      <w:r>
        <w:rPr>
          <w:rtl/>
        </w:rPr>
        <w:t xml:space="preserve"> [1]</w:t>
      </w:r>
      <w:r>
        <w:rPr>
          <w:rtl/>
        </w:rPr>
        <w:t xml:space="preserve"> ولا تُختصر مدة الإخطار عن المادة 14 ما لم يقبل النموذج الرسمي ذلك.</w:t>
      </w:r>
    </w:p>
  </w:comment>
  <w:comment w:id="6" w:initials="Q" w:author="Qanu" w:date="2026-10-29T00:00:00.000Z">
    <w:p>
      <w:pPr>
        <w:bidi/>
      </w:pPr>
      <w:r>
        <w:rPr>
          <w:b/>
          <w:bCs/>
          <w:rtl/>
        </w:rPr>
        <w:t xml:space="preserve">ملاحظة صياغة</w:t>
      </w:r>
    </w:p>
    <w:p>
      <w:pPr>
        <w:bidi/>
      </w:pPr>
      <w:r>
        <w:rPr>
          <w:rtl/>
        </w:rPr>
        <w:t xml:space="preserve">استخدموا هذه المسودة لضبط الصياغة. والعقد الذي يُعمل به هو عقد الإيجار الموحد المسجَّل في إيجاري. وهذه نقطة بداية. راجعوا النص مع محامٍ مرخّص في الدولة المعنية قبل الاستخدام.</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BB9CD328-B9AA-84BB-C774-8A107BF0DB70}"/>
    <w:embedBold r:id="rId2" w:fontKey="{2E58AFF2-4682-B407-0EE0-58E8159DAF2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29 أكتوبر 2026 – ‪https://www.qanu.ai/ar/نماذج/نموذج-عقد-إيجار-دبي‬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29 أكتوبر 2026 – ‪https://www.qanu.ai/ar/نماذج/نموذج-عقد-إيجار-دبي‬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imsno0clkgnhnxbhrozjx" Type="http://schemas.openxmlformats.org/officeDocument/2006/relationships/hyperlink" Target="https://www.qanu.ai/ar/%D9%85%D8%B3%D8%B1%D8%AF-%D9%82%D8%A7%D9%86%D9%88%D9%86%D9%8A/%D9%88%D9%83%D8%A7%D9%84%D8%A9" TargetMode="External"/><Relationship Id="rIdl8nmxrh26jczw4yaf8gr-" Type="http://schemas.openxmlformats.org/officeDocument/2006/relationships/hyperlink" Target="https://www.qanu.ai/ar/%D9%85%D8%B3%D8%B1%D8%AF-%D9%82%D8%A7%D9%86%D9%88%D9%86%D9%8A/%D9%83%D8%A7%D8%AA%D8%A8-%D8%A7%D9%84%D8%B9%D8%AF%D9%84" TargetMode="External"/><Relationship Id="rId6xal5rcd9ahqht0nczkup" Type="http://schemas.openxmlformats.org/officeDocument/2006/relationships/hyperlink" Target="https://www.qanu.ai/ar/%D9%85%D8%B3%D8%B1%D8%AF-%D9%82%D8%A7%D9%86%D9%88%D9%86%D9%8A/%D8%B3%D8%AC%D9%84-%D8%AA%D8%AC%D8%A7%D8%B1%D9%8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dzrn-hiji5qsv0ay5b5kg" Type="http://schemas.openxmlformats.org/officeDocument/2006/relationships/hyperlink" Target="https://dubailand.gov.ae/en/eservices/register-renew-ejari-contract/" TargetMode="External"/><Relationship Id="rIdviy7kju5a4271vb0krqgu" Type="http://schemas.openxmlformats.org/officeDocument/2006/relationships/hyperlink" Target="https://dubailand.gov.ae/en/eservices/ejari-templates/download-unified-ejari-tenancy-contract" TargetMode="External"/><Relationship Id="rIdu58wwkvqr_vl-02p37nd6" Type="http://schemas.openxmlformats.org/officeDocument/2006/relationships/hyperlink" Target="https://dubailand.gov.ae/media/ivuhfjxa/ejari_unified_tenancy_contract.pdf" TargetMode="External"/><Relationship Id="rId_acpbouhxxarpv8s79mx1" Type="http://schemas.openxmlformats.org/officeDocument/2006/relationships/hyperlink" Target="https://dubailand.gov.ae/en/eservices/rental-index/" TargetMode="External"/><Relationship Id="rIdbt6takzq592tbkrhomgz5" Type="http://schemas.openxmlformats.org/officeDocument/2006/relationships/hyperlink" Target="https://creativecommons.org/licenses/by/4.0/deed.ar" TargetMode="External"/><Relationship Id="rId7jihns4tdcyc0iium7yet" Type="http://schemas.openxmlformats.org/officeDocument/2006/relationships/hyperlink" Target="https://dlp.dubai.gov.ae/Legislation%20Reference/2007/Law%20No.%20(26)%20of%202007.pdf" TargetMode="External"/><Relationship Id="rIdvrdb97kw8kfg0prkr8tex" Type="http://schemas.openxmlformats.org/officeDocument/2006/relationships/hyperlink" Target="https://dubailand.gov.ae/en/eservices/register-renew-ejari-contract/" TargetMode="External"/><Relationship Id="rIddo4ab8ptwe94gfgelmj5p" Type="http://schemas.openxmlformats.org/officeDocument/2006/relationships/hyperlink" Target="https://dubailand.gov.ae/en/eservices/ejari-templates/download-unified-ejari-tenancy-contract" TargetMode="External"/><Relationship Id="rId68foueuncvkdu7xretcio" Type="http://schemas.openxmlformats.org/officeDocument/2006/relationships/hyperlink" Target="https://dubailand.gov.ae/media/ivuhfjxa/ejari_unified_tenancy_contract.pdf" TargetMode="External"/><Relationship Id="rIddcq498ersjpd4ewsyfozc" Type="http://schemas.openxmlformats.org/officeDocument/2006/relationships/hyperlink" Target="https://dubailand.gov.ae/en/eservices/rental-index/" TargetMode="External"/><Relationship Id="rId2mxr1jxqz6aemn_n1zkme" Type="http://schemas.openxmlformats.org/officeDocument/2006/relationships/hyperlink" Target="https://adrec.gov.ae/en/rules_and_regulations/tenancy" TargetMode="External"/><Relationship Id="rIdynhyu3ro9uxfwx1kae7e3" Type="http://schemas.openxmlformats.org/officeDocument/2006/relationships/hyperlink" Target="https://www.tamm.abudhabi/en/articles/lease-registration-guidelines" TargetMode="External"/><Relationship Id="rId2fiktbn12xtshctcuyns3" Type="http://schemas.openxmlformats.org/officeDocument/2006/relationships/hyperlink" Target="https://www.ejar.sa/ar/faqregulation" TargetMode="External"/><Relationship Id="rIdrcby4qbac7uveq9zj4fi9" Type="http://schemas.openxmlformats.org/officeDocument/2006/relationships/hyperlink" Target="https://www.ejar.sa/en/service/355294" TargetMode="External"/><Relationship Id="rIdmwk2ylnyhrhn2slde4zgf" Type="http://schemas.openxmlformats.org/officeDocument/2006/relationships/hyperlink" Target="https://www.almeezan.qa/LawArticles.aspx?LawArticleID=75041&amp;language=ar&amp;lawId=3982" TargetMode="External"/><Relationship Id="rId5dbpkxmfpbtzrdrp7j8gv" Type="http://schemas.openxmlformats.org/officeDocument/2006/relationships/hyperlink" Target="https://services.bahrain.bh/wps/portal/LeaseContractReg_ar" TargetMode="External"/><Relationship Id="rId34j9ezkkoxobfuehxhs8d" Type="http://schemas.openxmlformats.org/officeDocument/2006/relationships/hyperlink" Target="https://eservices.mm.gov.om/" TargetMode="External"/><Relationship Id="rIdccdixjynhrdqth7rghqdg" Type="http://schemas.openxmlformats.org/officeDocument/2006/relationships/hyperlink" Target="https://uaelegislation.gov.ae/en/legislations/4011"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عقد إيجار دبي (Word و PDF)</dc:title>
  <dc:creator>Qanu</dc:creator>
  <cp:keywords>عقد إيجار دبي, إيجاري, عقد الإيجار الموحد, دبي</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29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2026-10-29T11:28:02.407Z</dcterms:created>
  <dcterms:modified xsi:type="dcterms:W3CDTF">2026-10-29T11:28:02.407Z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https://www.qanu.ai/ar/نماذج/نموذج-عقد-إيجار-دبي</vt:lpwstr>
  </property>
</Properties>
</file>