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Register on Ejari with the Unified Tenancy Contract.</w:t>
      </w:r>
      <w:r>
        <w:rPr>
          <w:rtl w:val="false"/>
        </w:rPr>
        <w:t xml:space="preserve"> Dubai residential leases use the Dubai Land Department </w:t>
      </w:r>
      <w:r>
        <w:rPr>
          <w:b/>
          <w:bCs/>
          <w:rtl w:val="false"/>
        </w:rPr>
        <w:t xml:space="preserve">Unified Tenancy Contract</w:t>
      </w:r>
      <w:r>
        <w:rPr>
          <w:rtl w:val="false"/>
        </w:rPr>
        <w:t xml:space="preserve"> and register on </w:t>
      </w:r>
      <w:r>
        <w:rPr>
          <w:b/>
          <w:bCs/>
          <w:rtl w:val="false"/>
        </w:rPr>
        <w:t xml:space="preserve">Ejari</w:t>
      </w:r>
      <w:r>
        <w:rPr>
          <w:rtl w:val="false"/>
        </w:rPr>
        <w:t xml:space="preserve">.</w:t>
      </w:r>
      <w:r>
        <w:rPr>
          <w:rtl w:val="false"/>
        </w:rPr>
        <w:t xml:space="preserve"> [2][3]</w:t>
      </w:r>
      <w:r>
        <w:rPr>
          <w:rtl w:val="false"/>
        </w:rPr>
        <w:t xml:space="preserve"> In that contract the Arabic text prevails, and the landlord undertakes to register it on Ejari.</w:t>
      </w:r>
      <w:r>
        <w:rPr>
          <w:rtl w:val="false"/>
        </w:rPr>
        <w:t xml:space="preserve"> [4]</w:t>
      </w:r>
      <w:r>
        <w:rPr>
          <w:rtl w:val="false"/>
        </w:rPr>
        <w:t xml:space="preserve"> Law No. 26 of 2007 requires the lease to be in writing and registered with the Real Estate Regulatory Agency; a dispute over an unregistered lease is not heard (Art. 4).</w:t>
      </w:r>
      <w:r>
        <w:rPr>
          <w:rtl w:val="false"/>
        </w:rPr>
        <w:t xml:space="preserve"> [1]</w:t>
      </w:r>
      <w:r>
        <w:rPr>
          <w:rtl w:val="false"/>
        </w:rPr>
        <w:t xml:space="preserve"> Abu Dhabi uses </w:t>
      </w:r>
      <w:r>
        <w:rPr>
          <w:b/>
          <w:bCs/>
          <w:rtl w:val="false"/>
        </w:rPr>
        <w:t xml:space="preserve">Tawtheeq</w:t>
      </w:r>
      <w:r>
        <w:rPr>
          <w:rtl w:val="false"/>
        </w:rPr>
        <w:t xml:space="preserve">. Saudi Arabia uses </w:t>
      </w:r>
      <w:r>
        <w:rPr>
          <w:b/>
          <w:bCs/>
          <w:rtl w:val="false"/>
        </w:rPr>
        <w:t xml:space="preserve">Ejar</w:t>
      </w:r>
      <w:r>
        <w:rPr>
          <w:rtl w:val="false"/>
        </w:rPr>
        <w:t xml:space="preserve">. This file is a checklist. It is not those forms.</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Ejari – DLD: </w:t>
      </w:r>
      <w:hyperlink w:history="1" r:id="rId8p-fvnwoaf_ghb8zyjitg">
        <w:r>
          <w:rPr>
            <w:rStyle w:val="Hyperlink"/>
            <w:sz w:val="17"/>
            <w:szCs w:val="17"/>
          </w:rPr>
          <w:t xml:space="preserve">https://dubailand.gov.ae/en/eservices/register-renew-ejari-contract/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Unified Tenancy Contract: </w:t>
      </w:r>
      <w:hyperlink w:history="1" r:id="rIdsg0ftut_xfj6f0cav7den">
        <w:r>
          <w:rPr>
            <w:rStyle w:val="Hyperlink"/>
            <w:sz w:val="17"/>
            <w:szCs w:val="17"/>
          </w:rPr>
          <w:t xml:space="preserve">https://dubailand.gov.ae/en/eservices/ejari-templates/download-unified-ejari-tenancy-contract</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Unified Tenancy Contract (PDF): </w:t>
      </w:r>
      <w:hyperlink w:history="1" r:id="rIdewh_mghergsoos0of4q8a">
        <w:r>
          <w:rPr>
            <w:rStyle w:val="Hyperlink"/>
            <w:sz w:val="17"/>
            <w:szCs w:val="17"/>
          </w:rPr>
          <w:t xml:space="preserve">https://dubailand.gov.ae/media/ivuhfjxa/ejari_unified_tenancy_contract.pdf</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DLD rental index: </w:t>
      </w:r>
      <w:hyperlink w:history="1" r:id="rIdhp7ksbjabcrzviomotz58">
        <w:r>
          <w:rPr>
            <w:rStyle w:val="Hyperlink"/>
            <w:sz w:val="17"/>
            <w:szCs w:val="17"/>
          </w:rPr>
          <w:t xml:space="preserve">https://dubailand.gov.ae/en/eservices/rental-index/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Abu Dhabi:</w:t>
      </w:r>
      <w:r>
        <w:rPr>
          <w:sz w:val="19"/>
          <w:szCs w:val="19"/>
          <w:rtl w:val="false"/>
        </w:rPr>
        <w:t xml:space="preserve"> register the lease on Tawtheeq. Registration is needed to connect utilities.</w:t>
      </w:r>
      <w:r>
        <w:rPr>
          <w:sz w:val="19"/>
          <w:szCs w:val="19"/>
          <w:rtl w:val="false"/>
        </w:rPr>
        <w:t xml:space="preserve"> [7]</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Saudi Arabia:</w:t>
      </w:r>
      <w:r>
        <w:rPr>
          <w:sz w:val="19"/>
          <w:szCs w:val="19"/>
          <w:rtl w:val="false"/>
        </w:rPr>
        <w:t xml:space="preserve"> register the lease on Ejar. An unregistered lease does not produce administrative and judicial effects.</w:t>
      </w:r>
      <w:r>
        <w:rPr>
          <w:sz w:val="19"/>
          <w:szCs w:val="19"/>
          <w:rtl w:val="false"/>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Qatar, Bahrain, Kuwait, Oman:</w:t>
      </w:r>
      <w:r>
        <w:rPr>
          <w:sz w:val="19"/>
          <w:szCs w:val="19"/>
          <w:rtl w:val="false"/>
        </w:rPr>
        <w:t xml:space="preserve"> under review. No article number is stated.</w:t>
      </w:r>
      <w:r>
        <w:rPr>
          <w:sz w:val="19"/>
          <w:szCs w:val="19"/>
          <w:rtl w:val="false"/>
        </w:rPr>
        <w:t xml:space="preserve"> [10][11][12]</w:t>
      </w:r>
    </w:p>
    <w:p>
      <w:pPr>
        <w:bidi w:val="false"/>
        <w:spacing w:after="240"/>
      </w:pPr>
    </w:p>
    <w:p>
      <w:pPr>
        <w:pStyle w:val="Title"/>
        <w:bidi w:val="false"/>
      </w:pPr>
      <w:r>
        <w:rPr>
          <w:rtl w:val="false"/>
        </w:rPr>
        <w:t xml:space="preserve">Dubai tenancy contract</w:t>
      </w:r>
    </w:p>
    <w:p>
      <w:pPr>
        <w:bidi w:val="false"/>
        <w:spacing w:after="240"/>
      </w:pPr>
      <w:r>
        <w:rPr>
          <w:color w:val="444444"/>
          <w:rtl w:val="false"/>
        </w:rPr>
        <w:t xml:space="preserve">A checklist for a Dubai residential tenancy: parties, property, rent, deposit, term and notice. It does not replace the DLD Unified Tenancy Contract registered on Ejari.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Landlord: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ID/CR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represented by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(if an agent, attach the authority). Tenant: </w:t>
      </w:r>
      <w:r>
        <w:rPr>
          <w:highlight w:val="yellow"/>
          <w:rtl w:val="false"/>
        </w:rPr>
        <w:t xml:space="preserve">[</w:t>
      </w:r>
      <w:r>
        <w:rPr>
          <w:highlight w:val="yellow"/>
          <w:rtl w:val="false"/>
        </w:rPr>
        <w:t xml:space="preserve">name</w:t>
      </w:r>
      <w:r>
        <w:rPr>
          <w:highlight w:val="yellow"/>
          <w:rtl w:val="false"/>
        </w:rPr>
        <w:t xml:space="preserve">]</w:t>
      </w:r>
      <w:r>
        <w:rPr>
          <w:rtl w:val="false"/>
        </w:rPr>
        <w:t xml:space="preserve">, ID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1"/>
      <w:r>
        <w:rPr>
          <w:rtl w:val="false"/>
        </w:rPr>
        <w:t xml:space="preserve">2. Property and use</w:t>
      </w:r>
      <w:commentRangeEnd w:id="1"/>
      <w:r>
        <w:rPr>
          <w:rtl w:val="false"/>
        </w:rPr>
        <w:commentReference w:id="1"/>
      </w:r>
    </w:p>
    <w:p>
      <w:pPr>
        <w:bidi w:val="false"/>
      </w:pPr>
      <w:r>
        <w:rPr>
          <w:highlight w:val="yellow"/>
          <w:rtl w:val="false"/>
        </w:rPr>
        <w:t xml:space="preserve">[</w:t>
      </w:r>
      <w:r>
        <w:rPr>
          <w:highlight w:val="yellow"/>
          <w:rtl w:val="false"/>
        </w:rPr>
        <w:t xml:space="preserve">Type: apartment/villa</w:t>
      </w:r>
      <w:r>
        <w:rPr>
          <w:highlight w:val="yellow"/>
          <w:rtl w:val="false"/>
        </w:rPr>
        <w:t xml:space="preserve">]</w:t>
      </w:r>
      <w:r>
        <w:rPr>
          <w:rtl w:val="false"/>
        </w:rPr>
        <w:t xml:space="preserve">, unit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building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title deed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area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m², furnishing </w:t>
      </w:r>
      <w:r>
        <w:rPr>
          <w:highlight w:val="yellow"/>
          <w:rtl w:val="false"/>
        </w:rPr>
        <w:t xml:space="preserve">[</w:t>
      </w:r>
      <w:r>
        <w:rPr>
          <w:highlight w:val="yellow"/>
          <w:rtl w:val="false"/>
        </w:rPr>
        <w:t xml:space="preserve">furnished/unfurnished</w:t>
      </w:r>
      <w:r>
        <w:rPr>
          <w:highlight w:val="yellow"/>
          <w:rtl w:val="false"/>
        </w:rPr>
        <w:t xml:space="preserve">]</w:t>
      </w:r>
      <w:r>
        <w:rPr>
          <w:rtl w:val="false"/>
        </w:rPr>
        <w:t xml:space="preserve">, parking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property is leased for residential use by the Tenant and family members </w:t>
      </w:r>
      <w:r>
        <w:rPr>
          <w:highlight w:val="yellow"/>
          <w:rtl w:val="false"/>
        </w:rPr>
        <w:t xml:space="preserve">[</w:t>
      </w:r>
      <w:r>
        <w:rPr>
          <w:highlight w:val="yellow"/>
          <w:rtl w:val="false"/>
        </w:rPr>
        <w:t xml:space="preserve">names/number</w:t>
      </w:r>
      <w:r>
        <w:rPr>
          <w:highlight w:val="yellow"/>
          <w:rtl w:val="false"/>
        </w:rPr>
        <w:t xml:space="preserve">]</w:t>
      </w:r>
      <w:r>
        <w:rPr>
          <w:rtl w:val="false"/>
        </w:rPr>
        <w:t xml:space="preserve"> only.</w:t>
      </w:r>
    </w:p>
    <w:p>
      <w:pPr>
        <w:pStyle w:val="Heading1"/>
        <w:bidi w:val="false"/>
      </w:pPr>
      <w:commentRangeStart w:id="2"/>
      <w:r>
        <w:rPr>
          <w:rtl w:val="false"/>
        </w:rPr>
        <w:t xml:space="preserve">3. Term, rent and deposit</w:t>
      </w:r>
      <w:commentRangeEnd w:id="2"/>
      <w:r>
        <w:rPr>
          <w:rtl w:val="false"/>
        </w:rPr>
        <w:commentReference w:id="2"/>
      </w:r>
    </w:p>
    <w:p>
      <w:pPr>
        <w:bidi w:val="false"/>
      </w:pPr>
      <w:r>
        <w:rPr>
          <w:rtl w:val="false"/>
        </w:rPr>
        <w:t xml:space="preserve">Term: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months/years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to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The term must be specified (Law No. 26 of 2007, Art. 5).</w:t>
      </w:r>
    </w:p>
    <w:p>
      <w:pPr>
        <w:bidi w:val="false"/>
      </w:pPr>
      <w:r>
        <w:rPr>
          <w:rtl w:val="false"/>
        </w:rPr>
        <w:t xml:space="preserve">Annual rent </w:t>
      </w: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payable 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instalments on </w:t>
      </w:r>
      <w:r>
        <w:rPr>
          <w:highlight w:val="yellow"/>
          <w:rtl w:val="false"/>
        </w:rPr>
        <w:t xml:space="preserve">[</w:t>
      </w:r>
      <w:r>
        <w:rPr>
          <w:highlight w:val="yellow"/>
          <w:rtl w:val="false"/>
        </w:rPr>
        <w:t xml:space="preserve">dates</w:t>
      </w:r>
      <w:r>
        <w:rPr>
          <w:highlight w:val="yellow"/>
          <w:rtl w:val="false"/>
        </w:rPr>
        <w:t xml:space="preserve">]</w:t>
      </w:r>
      <w:r>
        <w:rPr>
          <w:rtl w:val="false"/>
        </w:rPr>
        <w:t xml:space="preserve"> by </w:t>
      </w:r>
      <w:r>
        <w:rPr>
          <w:highlight w:val="yellow"/>
          <w:rtl w:val="false"/>
        </w:rPr>
        <w:t xml:space="preserve">[</w:t>
      </w:r>
      <w:r>
        <w:rPr>
          <w:highlight w:val="yellow"/>
          <w:rtl w:val="false"/>
        </w:rPr>
        <w:t xml:space="preserve">method</w:t>
      </w:r>
      <w:r>
        <w:rPr>
          <w:highlight w:val="yellow"/>
          <w:rtl w:val="false"/>
        </w:rPr>
        <w:t xml:space="preserve">]</w:t>
      </w:r>
      <w:r>
        <w:rPr>
          <w:rtl w:val="false"/>
        </w:rPr>
        <w:t xml:space="preserve">. Security deposit </w:t>
      </w: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refundable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after handover, less documented amounts due.</w:t>
      </w:r>
    </w:p>
    <w:p>
      <w:pPr>
        <w:pStyle w:val="Heading1"/>
        <w:bidi w:val="false"/>
      </w:pPr>
      <w:commentRangeStart w:id="3"/>
      <w:r>
        <w:rPr>
          <w:rtl w:val="false"/>
        </w:rPr>
        <w:t xml:space="preserve">4. Registration on Ejari</w:t>
      </w:r>
      <w:commentRangeEnd w:id="3"/>
      <w:r>
        <w:rPr>
          <w:rtl w:val="false"/>
        </w:rPr>
        <w:commentReference w:id="3"/>
      </w:r>
    </w:p>
    <w:p>
      <w:pPr>
        <w:bidi w:val="false"/>
      </w:pPr>
      <w:r>
        <w:rPr>
          <w:rtl w:val="false"/>
        </w:rPr>
        <w:t xml:space="preserve">The Landlord shall create the official contract from the DLD Unified Tenancy Contract and register it on Ejari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signing, and give the Tenant a copy of the registration certificate.</w:t>
      </w:r>
    </w:p>
    <w:p>
      <w:pPr>
        <w:pStyle w:val="Heading1"/>
        <w:bidi w:val="false"/>
      </w:pPr>
      <w:r>
        <w:rPr>
          <w:rtl w:val="false"/>
        </w:rPr>
        <w:t xml:space="preserve">5. Utilities and maintenance</w:t>
      </w:r>
    </w:p>
    <w:p>
      <w:pPr>
        <w:bidi w:val="false"/>
      </w:pPr>
      <w:r>
        <w:rPr>
          <w:highlight w:val="yellow"/>
          <w:rtl w:val="false"/>
        </w:rPr>
        <w:t xml:space="preserve">[</w:t>
      </w:r>
      <w:r>
        <w:rPr>
          <w:highlight w:val="yellow"/>
          <w:rtl w:val="false"/>
        </w:rPr>
        <w:t xml:space="preserve">Electricity/water/cooling/internet/service charges</w:t>
      </w:r>
      <w:r>
        <w:rPr>
          <w:highlight w:val="yellow"/>
          <w:rtl w:val="false"/>
        </w:rPr>
        <w:t xml:space="preserve">]</w:t>
      </w:r>
      <w:r>
        <w:rPr>
          <w:rtl w:val="false"/>
        </w:rPr>
        <w:t xml:space="preserve"> are paid by </w:t>
      </w:r>
      <w:r>
        <w:rPr>
          <w:highlight w:val="yellow"/>
          <w:rtl w:val="false"/>
        </w:rPr>
        <w:t xml:space="preserve">[</w:t>
      </w:r>
      <w:r>
        <w:rPr>
          <w:highlight w:val="yellow"/>
          <w:rtl w:val="false"/>
        </w:rPr>
        <w:t xml:space="preserve">party</w:t>
      </w:r>
      <w:r>
        <w:rPr>
          <w:highlight w:val="yellow"/>
          <w:rtl w:val="false"/>
        </w:rPr>
        <w:t xml:space="preserve">]</w:t>
      </w:r>
      <w:r>
        <w:rPr>
          <w:rtl w:val="false"/>
        </w:rPr>
        <w:t xml:space="preserve">. The Landlord handles </w:t>
      </w:r>
      <w:r>
        <w:rPr>
          <w:highlight w:val="yellow"/>
          <w:rtl w:val="false"/>
        </w:rPr>
        <w:t xml:space="preserve">[</w:t>
      </w:r>
      <w:r>
        <w:rPr>
          <w:highlight w:val="yellow"/>
          <w:rtl w:val="false"/>
        </w:rPr>
        <w:t xml:space="preserve">structural/major</w:t>
      </w:r>
      <w:r>
        <w:rPr>
          <w:highlight w:val="yellow"/>
          <w:rtl w:val="false"/>
        </w:rPr>
        <w:t xml:space="preserve">]</w:t>
      </w:r>
      <w:r>
        <w:rPr>
          <w:rtl w:val="false"/>
        </w:rPr>
        <w:t xml:space="preserve"> repairs and the Tenant handles </w:t>
      </w:r>
      <w:r>
        <w:rPr>
          <w:highlight w:val="yellow"/>
          <w:rtl w:val="false"/>
        </w:rPr>
        <w:t xml:space="preserve">[</w:t>
      </w:r>
      <w:r>
        <w:rPr>
          <w:highlight w:val="yellow"/>
          <w:rtl w:val="false"/>
        </w:rPr>
        <w:t xml:space="preserve">minor/routine</w:t>
      </w:r>
      <w:r>
        <w:rPr>
          <w:highlight w:val="yellow"/>
          <w:rtl w:val="false"/>
        </w:rPr>
        <w:t xml:space="preserve">]</w:t>
      </w:r>
      <w:r>
        <w:rPr>
          <w:rtl w:val="false"/>
        </w:rPr>
        <w:t xml:space="preserve"> repairs, as listed in </w:t>
      </w:r>
      <w:r>
        <w:rPr>
          <w:highlight w:val="yellow"/>
          <w:rtl w:val="false"/>
        </w:rPr>
        <w:t xml:space="preserve">[</w:t>
      </w:r>
      <w:r>
        <w:rPr>
          <w:highlight w:val="yellow"/>
          <w:rtl w:val="false"/>
        </w:rPr>
        <w:t xml:space="preserve">schedule</w:t>
      </w:r>
      <w:r>
        <w:rPr>
          <w:highlight w:val="yellow"/>
          <w:rtl w:val="false"/>
        </w:rPr>
        <w:t xml:space="preserve">]</w:t>
      </w:r>
      <w:r>
        <w:rPr>
          <w:rtl w:val="false"/>
        </w:rPr>
        <w:t xml:space="preserve">.</w:t>
      </w:r>
    </w:p>
    <w:p>
      <w:pPr>
        <w:pStyle w:val="Heading1"/>
        <w:bidi w:val="false"/>
      </w:pPr>
      <w:commentRangeStart w:id="4"/>
      <w:r>
        <w:rPr>
          <w:rtl w:val="false"/>
        </w:rPr>
        <w:t xml:space="preserve">6. Alterations and subletting</w:t>
      </w:r>
      <w:commentRangeEnd w:id="4"/>
      <w:r>
        <w:rPr>
          <w:rtl w:val="false"/>
        </w:rPr>
        <w:commentReference w:id="4"/>
      </w:r>
    </w:p>
    <w:p>
      <w:pPr>
        <w:bidi w:val="false"/>
      </w:pPr>
      <w:r>
        <w:rPr>
          <w:rtl w:val="false"/>
        </w:rPr>
        <w:t xml:space="preserve">The Tenant shall not alter the property or sublet or assign it without the Landlord's prior written consent.</w:t>
      </w:r>
    </w:p>
    <w:p>
      <w:pPr>
        <w:pStyle w:val="Heading1"/>
        <w:bidi w:val="false"/>
      </w:pPr>
      <w:commentRangeStart w:id="5"/>
      <w:r>
        <w:rPr>
          <w:rtl w:val="false"/>
        </w:rPr>
        <w:t xml:space="preserve">7. Renewal, notice and eviction</w:t>
      </w:r>
      <w:commentRangeEnd w:id="5"/>
      <w:r>
        <w:rPr>
          <w:rtl w:val="false"/>
        </w:rPr>
        <w:commentReference w:id="5"/>
      </w:r>
    </w:p>
    <w:p>
      <w:pPr>
        <w:bidi w:val="false"/>
      </w:pPr>
      <w:r>
        <w:rPr>
          <w:rtl w:val="false"/>
        </w:rPr>
        <w:t xml:space="preserve">A party who does not want to renew, or wants to change the terms, notifies the other in writing at least 90 days before expiry (Law No. 26 of 2007, Art. 14).</w:t>
      </w:r>
      <w:r>
        <w:rPr>
          <w:rtl w:val="false"/>
        </w:rPr>
        <w:t xml:space="preserve"> The lease may end early only in the cases set by the applicable law, including the eviction cases in Art. 25, or as agreed here: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6"/>
      <w:r>
        <w:rPr>
          <w:rtl w:val="false"/>
        </w:rPr>
        <w:t xml:space="preserve">8. Governing law, language and signatures</w:t>
      </w:r>
      <w:commentRangeEnd w:id="6"/>
      <w:r>
        <w:rPr>
          <w:rtl w:val="false"/>
        </w:rPr>
        <w:commentReference w:id="6"/>
      </w:r>
    </w:p>
    <w:p>
      <w:pPr>
        <w:bidi w:val="false"/>
      </w:pPr>
      <w:r>
        <w:rPr>
          <w:rtl w:val="false"/>
        </w:rPr>
        <w:t xml:space="preserve">Governed by the laws of the Emirate of Dubai. Disputes over unregistered leases are not heard (Art. 4).</w:t>
      </w:r>
      <w:r>
        <w:rPr>
          <w:rtl w:val="false"/>
        </w:rPr>
        <w:t xml:space="preserve"> The Unified Tenancy Contract refers disputes to the Rental Dispute Center.</w:t>
      </w:r>
      <w:r>
        <w:rPr>
          <w:rtl w:val="false"/>
        </w:rPr>
        <w:t xml:space="preserve"> Arabic and English, with Arabic prevailing.</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Landlord:</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Tenant:</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Dubai notes</w:t>
      </w:r>
    </w:p>
    <w:p>
      <w:pPr>
        <w:bidi w:val="false"/>
      </w:pPr>
      <w:r>
        <w:rPr>
          <w:rtl w:val="false"/>
        </w:rPr>
        <w:t xml:space="preserve">What Law No. 26 of 2007 and the DLD unified form support.</w:t>
      </w:r>
      <w:r>
        <w:rPr>
          <w:rtl w:val="false"/>
        </w:rPr>
        <w:t xml:space="preserve"> [1][2][3][4]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Registration</w:t>
            </w:r>
          </w:p>
        </w:tc>
        <w:tc>
          <w:tcPr>
            <w:tcMar>
              <w:top w:type="dxa" w:w="80"/>
              <w:left w:type="dxa" w:w="100"/>
              <w:bottom w:type="dxa" w:w="80"/>
              <w:right w:type="dxa" w:w="100"/>
            </w:tcMar>
          </w:tcPr>
          <w:p>
            <w:pPr>
              <w:bidi w:val="false"/>
              <w:spacing w:after="0"/>
            </w:pPr>
            <w:r>
              <w:rPr>
                <w:b w:val="false"/>
                <w:sz w:val="18"/>
                <w:szCs w:val="18"/>
                <w:rtl w:val="false"/>
              </w:rPr>
              <w:t xml:space="preserve">Leases must be written and registered with RERA; disputes over unregistered leases are not heard (Art. 4). Registration is through Ejari.</w:t>
            </w:r>
            <w:r>
              <w:rPr>
                <w:b w:val="false"/>
                <w:sz w:val="18"/>
                <w:szCs w:val="18"/>
                <w:rtl w:val="false"/>
              </w:rPr>
              <w:t xml:space="preserve"> [1][2]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 and renewal</w:t>
            </w:r>
          </w:p>
        </w:tc>
        <w:tc>
          <w:tcPr>
            <w:tcMar>
              <w:top w:type="dxa" w:w="80"/>
              <w:left w:type="dxa" w:w="100"/>
              <w:bottom w:type="dxa" w:w="80"/>
              <w:right w:type="dxa" w:w="100"/>
            </w:tcMar>
          </w:tcPr>
          <w:p>
            <w:pPr>
              <w:bidi w:val="false"/>
              <w:spacing w:after="0"/>
            </w:pPr>
            <w:r>
              <w:rPr>
                <w:b w:val="false"/>
                <w:sz w:val="18"/>
                <w:szCs w:val="18"/>
                <w:rtl w:val="false"/>
              </w:rPr>
              <w:t xml:space="preserve">The term must be specified (Art. 5); renewal is covered by Art. 6.</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w:t>
            </w:r>
          </w:p>
        </w:tc>
        <w:tc>
          <w:tcPr>
            <w:tcMar>
              <w:top w:type="dxa" w:w="80"/>
              <w:left w:type="dxa" w:w="100"/>
              <w:bottom w:type="dxa" w:w="80"/>
              <w:right w:type="dxa" w:w="100"/>
            </w:tcMar>
          </w:tcPr>
          <w:p>
            <w:pPr>
              <w:bidi w:val="false"/>
              <w:spacing w:after="0"/>
            </w:pPr>
            <w:r>
              <w:rPr>
                <w:b w:val="false"/>
                <w:sz w:val="18"/>
                <w:szCs w:val="18"/>
                <w:rtl w:val="false"/>
              </w:rPr>
              <w:t xml:space="preserve">90 days' notice before expiry to amend the terms or not renew (Art. 14).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Eviction</w:t>
            </w:r>
          </w:p>
        </w:tc>
        <w:tc>
          <w:tcPr>
            <w:tcMar>
              <w:top w:type="dxa" w:w="80"/>
              <w:left w:type="dxa" w:w="100"/>
              <w:bottom w:type="dxa" w:w="80"/>
              <w:right w:type="dxa" w:w="100"/>
            </w:tcMar>
          </w:tcPr>
          <w:p>
            <w:pPr>
              <w:bidi w:val="false"/>
              <w:spacing w:after="0"/>
            </w:pPr>
            <w:r>
              <w:rPr>
                <w:b w:val="false"/>
                <w:sz w:val="18"/>
                <w:szCs w:val="18"/>
                <w:rtl w:val="false"/>
              </w:rPr>
              <w:t xml:space="preserve">The eviction cases are set out in Art. 25.</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Rent increases</w:t>
            </w:r>
          </w:p>
        </w:tc>
        <w:tc>
          <w:tcPr>
            <w:tcMar>
              <w:top w:type="dxa" w:w="80"/>
              <w:left w:type="dxa" w:w="100"/>
              <w:bottom w:type="dxa" w:w="80"/>
              <w:right w:type="dxa" w:w="100"/>
            </w:tcMar>
          </w:tcPr>
          <w:p>
            <w:pPr>
              <w:bidi w:val="false"/>
              <w:spacing w:after="0"/>
            </w:pPr>
            <w:r>
              <w:rPr>
                <w:b w:val="false"/>
                <w:sz w:val="18"/>
                <w:szCs w:val="18"/>
                <w:rtl w:val="false"/>
              </w:rPr>
              <w:t xml:space="preserve">Governed by the law and Decree No. 43 of 2013; check the DLD rental index.</w:t>
            </w:r>
            <w:r>
              <w:rPr>
                <w:b w:val="false"/>
                <w:sz w:val="18"/>
                <w:szCs w:val="18"/>
                <w:rtl w:val="false"/>
              </w:rPr>
              <w:t xml:space="preserve"> [4][5]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Unified Tenancy Contract</w:t>
            </w:r>
          </w:p>
        </w:tc>
        <w:tc>
          <w:tcPr>
            <w:tcMar>
              <w:top w:type="dxa" w:w="80"/>
              <w:left w:type="dxa" w:w="100"/>
              <w:bottom w:type="dxa" w:w="80"/>
              <w:right w:type="dxa" w:w="100"/>
            </w:tcMar>
          </w:tcPr>
          <w:p>
            <w:pPr>
              <w:bidi w:val="false"/>
              <w:spacing w:after="0"/>
            </w:pPr>
            <w:r>
              <w:rPr>
                <w:b w:val="false"/>
                <w:sz w:val="18"/>
                <w:szCs w:val="18"/>
                <w:rtl w:val="false"/>
              </w:rPr>
              <w:t xml:space="preserve">The Arabic text prevails; the landlord undertakes to register on Ejari; the tenant may not sublet or assign without the landlord's written approval.</w:t>
            </w:r>
            <w:r>
              <w:rPr>
                <w:b w:val="false"/>
                <w:sz w:val="18"/>
                <w:szCs w:val="18"/>
                <w:rtl w:val="false"/>
              </w:rPr>
              <w:t xml:space="preserve"> [3][4]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Representatives</w:t>
            </w:r>
          </w:p>
        </w:tc>
        <w:tc>
          <w:tcPr>
            <w:tcMar>
              <w:top w:type="dxa" w:w="80"/>
              <w:left w:type="dxa" w:w="100"/>
              <w:bottom w:type="dxa" w:w="80"/>
              <w:right w:type="dxa" w:w="100"/>
            </w:tcMar>
          </w:tcPr>
          <w:p>
            <w:pPr>
              <w:bidi w:val="false"/>
              <w:spacing w:after="0"/>
            </w:pPr>
            <w:r>
              <w:rPr>
                <w:b w:val="false"/>
                <w:sz w:val="18"/>
                <w:szCs w:val="18"/>
                <w:rtl w:val="false"/>
              </w:rPr>
              <w:t xml:space="preserve">Registering through a representative requires an official power of attorney.</w:t>
            </w:r>
            <w:r>
              <w:rPr>
                <w:b w:val="false"/>
                <w:sz w:val="18"/>
                <w:szCs w:val="18"/>
                <w:rtl w:val="false"/>
              </w:rPr>
              <w:t xml:space="preserve"> [2]</w:t>
            </w:r>
          </w:p>
        </w:tc>
      </w:tr>
    </w:tbl>
    <w:p>
      <w:pPr>
        <w:bidi w:val="false"/>
      </w:pPr>
    </w:p>
    <w:p>
      <w:pPr>
        <w:pStyle w:val="Heading1"/>
        <w:pageBreakBefore/>
        <w:bidi w:val="false"/>
      </w:pPr>
      <w:r>
        <w:rPr>
          <w:rtl w:val="false"/>
        </w:rPr>
        <w:t xml:space="preserve">Abu Dhabi, Saudi Arabia and other GCC</w:t>
      </w:r>
    </w:p>
    <w:p>
      <w:pPr>
        <w:bidi w:val="false"/>
      </w:pPr>
      <w:r>
        <w:rPr>
          <w:rtl w:val="false"/>
        </w:rPr>
        <w:t xml:space="preserve">These filings are not this template.</w:t>
      </w:r>
      <w:r>
        <w:rPr>
          <w:rtl w:val="false"/>
        </w:rPr>
        <w:t xml:space="preserve"> [7][6][8][9]</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Place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Abu Dhabi</w:t>
            </w:r>
          </w:p>
        </w:tc>
        <w:tc>
          <w:tcPr>
            <w:tcMar>
              <w:top w:type="dxa" w:w="80"/>
              <w:left w:type="dxa" w:w="100"/>
              <w:bottom w:type="dxa" w:w="80"/>
              <w:right w:type="dxa" w:w="100"/>
            </w:tcMar>
          </w:tcPr>
          <w:p>
            <w:pPr>
              <w:bidi w:val="false"/>
              <w:spacing w:after="0"/>
            </w:pPr>
            <w:r>
              <w:rPr>
                <w:b w:val="false"/>
                <w:sz w:val="18"/>
                <w:szCs w:val="18"/>
                <w:rtl w:val="false"/>
              </w:rPr>
              <w:t xml:space="preserve">Tawtheeq. The landlord or property manager registers on a standardised form; registration is needed to connect utilities.</w:t>
            </w:r>
            <w:r>
              <w:rPr>
                <w:b w:val="false"/>
                <w:sz w:val="18"/>
                <w:szCs w:val="18"/>
                <w:rtl w:val="false"/>
              </w:rPr>
              <w:t xml:space="preserve"> [7]</w:t>
            </w:r>
            <w:r>
              <w:rPr>
                <w:b w:val="false"/>
                <w:sz w:val="18"/>
                <w:szCs w:val="18"/>
                <w:rtl w:val="false"/>
              </w:rPr>
              <w:t xml:space="preserve"> Law No. 20 of 2006 and its amendments, published by ADREC.</w:t>
            </w:r>
            <w:r>
              <w:rPr>
                <w:b w:val="false"/>
                <w:sz w:val="18"/>
                <w:szCs w:val="18"/>
                <w:rtl w:val="false"/>
              </w:rPr>
              <w:t xml:space="preserve"> [6]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Saudi Arabia</w:t>
            </w:r>
          </w:p>
        </w:tc>
        <w:tc>
          <w:tcPr>
            <w:tcMar>
              <w:top w:type="dxa" w:w="80"/>
              <w:left w:type="dxa" w:w="100"/>
              <w:bottom w:type="dxa" w:w="80"/>
              <w:right w:type="dxa" w:w="100"/>
            </w:tcMar>
          </w:tcPr>
          <w:p>
            <w:pPr>
              <w:bidi w:val="false"/>
              <w:spacing w:after="0"/>
            </w:pPr>
            <w:r>
              <w:rPr>
                <w:b w:val="false"/>
                <w:sz w:val="18"/>
                <w:szCs w:val="18"/>
                <w:rtl w:val="false"/>
              </w:rPr>
              <w:t xml:space="preserve">Ejar. An unregistered lease does not produce administrative and judicial effects. The Ejar electronic contract is an enforceable instrument.</w:t>
            </w:r>
            <w:r>
              <w:rPr>
                <w:b w:val="false"/>
                <w:sz w:val="18"/>
                <w:szCs w:val="18"/>
                <w:rtl w:val="false"/>
              </w:rPr>
              <w:t xml:space="preserve"> [8][9]</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Qatar, Bahrain, Kuwait, Oman</w:t>
            </w:r>
          </w:p>
        </w:tc>
        <w:tc>
          <w:tcPr>
            <w:tcMar>
              <w:top w:type="dxa" w:w="80"/>
              <w:left w:type="dxa" w:w="100"/>
              <w:bottom w:type="dxa" w:w="80"/>
              <w:right w:type="dxa" w:w="100"/>
            </w:tcMar>
          </w:tcPr>
          <w:p>
            <w:pPr>
              <w:bidi w:val="false"/>
              <w:spacing w:after="0"/>
            </w:pPr>
            <w:r>
              <w:rPr>
                <w:b w:val="false"/>
                <w:sz w:val="18"/>
                <w:szCs w:val="18"/>
                <w:rtl w:val="false"/>
              </w:rPr>
              <w:t xml:space="preserve">Under review. No article number is stated.</w:t>
            </w:r>
            <w:r>
              <w:rPr>
                <w:b w:val="false"/>
                <w:sz w:val="18"/>
                <w:szCs w:val="18"/>
                <w:rtl w:val="false"/>
              </w:rPr>
              <w:t xml:space="preserve"> [10][11][12]</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wyw_63lmelrqdu4rjzcmu">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https://www.qanu.ai/en/templates/dubai-tenancy-contract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Dubai Legislation Portal, Law No. (26) of 2007 regulating the relationship between landlords and tenants in the Emirate of Dubai (PDF) </w:t>
      </w:r>
      <w:hyperlink w:history="1" r:id="rIdfywrmcdhznp_szjzccehm">
        <w:r>
          <w:rPr>
            <w:rStyle w:val="Hyperlink"/>
            <w:sz w:val="16"/>
            <w:szCs w:val="16"/>
          </w:rPr>
          <w:t xml:space="preserve">https://dlp.dubai.gov.ae/Legislation%20Reference/2007/Law%20No.%20(26)%20of%202007.pdf</w:t>
        </w:r>
      </w:hyperlink>
    </w:p>
    <w:p>
      <w:pPr>
        <w:bidi w:val="false"/>
        <w:ind w:start="360" w:hanging="360"/>
      </w:pPr>
      <w:r>
        <w:rPr>
          <w:sz w:val="18"/>
          <w:szCs w:val="18"/>
          <w:rtl w:val="false"/>
        </w:rPr>
        <w:t xml:space="preserve">[2] Dubai Land Department (DLD), Register or renew an Ejari contract </w:t>
      </w:r>
      <w:hyperlink w:history="1" r:id="rIdw2w6lvebkph6fshwazwut">
        <w:r>
          <w:rPr>
            <w:rStyle w:val="Hyperlink"/>
            <w:sz w:val="16"/>
            <w:szCs w:val="16"/>
          </w:rPr>
          <w:t xml:space="preserve">https://dubailand.gov.ae/en/eservices/register-renew-ejari-contract/</w:t>
        </w:r>
      </w:hyperlink>
    </w:p>
    <w:p>
      <w:pPr>
        <w:bidi w:val="false"/>
        <w:ind w:start="360" w:hanging="360"/>
      </w:pPr>
      <w:r>
        <w:rPr>
          <w:sz w:val="18"/>
          <w:szCs w:val="18"/>
          <w:rtl w:val="false"/>
        </w:rPr>
        <w:t xml:space="preserve">[3] Dubai Land Department (DLD), Download the unified Ejari tenancy contract </w:t>
      </w:r>
      <w:hyperlink w:history="1" r:id="rIdfcaa7lyq3j1masdc2mumi">
        <w:r>
          <w:rPr>
            <w:rStyle w:val="Hyperlink"/>
            <w:sz w:val="16"/>
            <w:szCs w:val="16"/>
          </w:rPr>
          <w:t xml:space="preserve">https://dubailand.gov.ae/en/eservices/ejari-templates/download-unified-ejari-tenancy-contract</w:t>
        </w:r>
      </w:hyperlink>
    </w:p>
    <w:p>
      <w:pPr>
        <w:bidi w:val="false"/>
        <w:ind w:start="360" w:hanging="360"/>
      </w:pPr>
      <w:r>
        <w:rPr>
          <w:sz w:val="18"/>
          <w:szCs w:val="18"/>
          <w:rtl w:val="false"/>
        </w:rPr>
        <w:t xml:space="preserve">[4] Dubai Land Department (DLD), Unified Tenancy Contract (PDF, Arabic and English) </w:t>
      </w:r>
      <w:hyperlink w:history="1" r:id="rIdi2a93rwunk9pabp5etfch">
        <w:r>
          <w:rPr>
            <w:rStyle w:val="Hyperlink"/>
            <w:sz w:val="16"/>
            <w:szCs w:val="16"/>
          </w:rPr>
          <w:t xml:space="preserve">https://dubailand.gov.ae/media/ivuhfjxa/ejari_unified_tenancy_contract.pdf</w:t>
        </w:r>
      </w:hyperlink>
    </w:p>
    <w:p>
      <w:pPr>
        <w:bidi w:val="false"/>
        <w:ind w:start="360" w:hanging="360"/>
      </w:pPr>
      <w:r>
        <w:rPr>
          <w:sz w:val="18"/>
          <w:szCs w:val="18"/>
          <w:rtl w:val="false"/>
        </w:rPr>
        <w:t xml:space="preserve">[5] Dubai Land Department (DLD), Rental index </w:t>
      </w:r>
      <w:hyperlink w:history="1" r:id="rIdpqd2kxotmjo-unpolspuy">
        <w:r>
          <w:rPr>
            <w:rStyle w:val="Hyperlink"/>
            <w:sz w:val="16"/>
            <w:szCs w:val="16"/>
          </w:rPr>
          <w:t xml:space="preserve">https://dubailand.gov.ae/en/eservices/rental-index/</w:t>
        </w:r>
      </w:hyperlink>
    </w:p>
    <w:p>
      <w:pPr>
        <w:bidi w:val="false"/>
        <w:ind w:start="360" w:hanging="360"/>
      </w:pPr>
      <w:r>
        <w:rPr>
          <w:sz w:val="18"/>
          <w:szCs w:val="18"/>
          <w:rtl w:val="false"/>
        </w:rPr>
        <w:t xml:space="preserve">[6] Abu Dhabi Real Estate Centre (ADREC), Tenancy rules and regulations </w:t>
      </w:r>
      <w:hyperlink w:history="1" r:id="rId9xbwy0r--6b6z_hrsh7aq">
        <w:r>
          <w:rPr>
            <w:rStyle w:val="Hyperlink"/>
            <w:sz w:val="16"/>
            <w:szCs w:val="16"/>
          </w:rPr>
          <w:t xml:space="preserve">https://adrec.gov.ae/en/rules_and_regulations/tenancy</w:t>
        </w:r>
      </w:hyperlink>
    </w:p>
    <w:p>
      <w:pPr>
        <w:bidi w:val="false"/>
        <w:ind w:start="360" w:hanging="360"/>
      </w:pPr>
      <w:r>
        <w:rPr>
          <w:sz w:val="18"/>
          <w:szCs w:val="18"/>
          <w:rtl w:val="false"/>
        </w:rPr>
        <w:t xml:space="preserve">[7] TAMM (Abu Dhabi Government), Lease registration guidelines (Tawtheeq) </w:t>
      </w:r>
      <w:hyperlink w:history="1" r:id="rIdqvi9ljuzdkwhhcahxnntu">
        <w:r>
          <w:rPr>
            <w:rStyle w:val="Hyperlink"/>
            <w:sz w:val="16"/>
            <w:szCs w:val="16"/>
          </w:rPr>
          <w:t xml:space="preserve">https://www.tamm.abudhabi/en/articles/lease-registration-guidelines</w:t>
        </w:r>
      </w:hyperlink>
    </w:p>
    <w:p>
      <w:pPr>
        <w:bidi w:val="false"/>
        <w:ind w:start="360" w:hanging="360"/>
      </w:pPr>
      <w:r>
        <w:rPr>
          <w:sz w:val="18"/>
          <w:szCs w:val="18"/>
          <w:rtl w:val="false"/>
        </w:rPr>
        <w:t xml:space="preserve">[8] Ejar, Regulatory FAQ (Cabinet Decision No. 292 of 16/5/1438H) </w:t>
      </w:r>
      <w:hyperlink w:history="1" r:id="rId7vwcoprt8_tbgavqr0cpn">
        <w:r>
          <w:rPr>
            <w:rStyle w:val="Hyperlink"/>
            <w:sz w:val="16"/>
            <w:szCs w:val="16"/>
          </w:rPr>
          <w:t xml:space="preserve">https://www.ejar.sa/ar/faqregulation</w:t>
        </w:r>
      </w:hyperlink>
    </w:p>
    <w:p>
      <w:pPr>
        <w:bidi w:val="false"/>
        <w:ind w:start="360" w:hanging="360"/>
      </w:pPr>
      <w:r>
        <w:rPr>
          <w:sz w:val="18"/>
          <w:szCs w:val="18"/>
          <w:rtl w:val="false"/>
        </w:rPr>
        <w:t xml:space="preserve">[9] Ejar, Electronic lease contract service </w:t>
      </w:r>
      <w:hyperlink w:history="1" r:id="rIdppomblfvypp4y95bmcsdq">
        <w:r>
          <w:rPr>
            <w:rStyle w:val="Hyperlink"/>
            <w:sz w:val="16"/>
            <w:szCs w:val="16"/>
          </w:rPr>
          <w:t xml:space="preserve">https://www.ejar.sa/en/service/355294</w:t>
        </w:r>
      </w:hyperlink>
    </w:p>
    <w:p>
      <w:pPr>
        <w:bidi w:val="false"/>
        <w:ind w:start="360" w:hanging="360"/>
      </w:pPr>
      <w:r>
        <w:rPr>
          <w:sz w:val="18"/>
          <w:szCs w:val="18"/>
          <w:rtl w:val="false"/>
        </w:rPr>
        <w:t xml:space="preserve">[10] Al Meezan (Qatar Legal Portal), Law No. 4 of 2008 on property leasing </w:t>
      </w:r>
      <w:hyperlink w:history="1" r:id="rIdpfol9bcemri1dkvytxmle">
        <w:r>
          <w:rPr>
            <w:rStyle w:val="Hyperlink"/>
            <w:sz w:val="16"/>
            <w:szCs w:val="16"/>
          </w:rPr>
          <w:t xml:space="preserve">https://www.almeezan.qa/LawArticles.aspx?LawArticleID=75041&amp;language=ar&amp;lawId=3982</w:t>
        </w:r>
      </w:hyperlink>
    </w:p>
    <w:p>
      <w:pPr>
        <w:bidi w:val="false"/>
        <w:ind w:start="360" w:hanging="360"/>
      </w:pPr>
      <w:r>
        <w:rPr>
          <w:sz w:val="18"/>
          <w:szCs w:val="18"/>
          <w:rtl w:val="false"/>
        </w:rPr>
        <w:t xml:space="preserve">[11] Bahrain eGovernment portal, Lease contract registration e-service </w:t>
      </w:r>
      <w:hyperlink w:history="1" r:id="rIdnuiwfmrkgmqqiqfkerbi9">
        <w:r>
          <w:rPr>
            <w:rStyle w:val="Hyperlink"/>
            <w:sz w:val="16"/>
            <w:szCs w:val="16"/>
          </w:rPr>
          <w:t xml:space="preserve">https://services.bahrain.bh/wps/portal/LeaseContractReg_ar</w:t>
        </w:r>
      </w:hyperlink>
    </w:p>
    <w:p>
      <w:pPr>
        <w:bidi w:val="false"/>
        <w:ind w:start="360" w:hanging="360"/>
      </w:pPr>
      <w:r>
        <w:rPr>
          <w:sz w:val="18"/>
          <w:szCs w:val="18"/>
          <w:rtl w:val="false"/>
        </w:rPr>
        <w:t xml:space="preserve">[12] Muscat Municipality, e-services portal </w:t>
      </w:r>
      <w:hyperlink w:history="1" r:id="rId8m-tj1tl8sz__dwcuqnn5">
        <w:r>
          <w:rPr>
            <w:rStyle w:val="Hyperlink"/>
            <w:sz w:val="16"/>
            <w:szCs w:val="16"/>
          </w:rPr>
          <w:t xml:space="preserve">https://eservices.mm.gov.om/</w:t>
        </w:r>
      </w:hyperlink>
    </w:p>
    <w:p>
      <w:pPr>
        <w:bidi w:val="false"/>
        <w:ind w:start="360" w:hanging="360"/>
      </w:pPr>
      <w:r>
        <w:rPr>
          <w:sz w:val="18"/>
          <w:szCs w:val="18"/>
          <w:rtl w:val="false"/>
        </w:rPr>
        <w:t xml:space="preserve">[13] UAE Legislation, Federal Decree-Law No. 25 of 2025 (Civil Transactions Law) </w:t>
      </w:r>
      <w:hyperlink w:history="1" r:id="rIdx7ep0he1i3orwlfs6l3tf">
        <w:r>
          <w:rPr>
            <w:rStyle w:val="Hyperlink"/>
            <w:sz w:val="16"/>
            <w:szCs w:val="16"/>
          </w:rPr>
          <w:t xml:space="preserve">https://uaelegislation.gov.ae/en/legislations/4011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If an agent signs, attach a </w:t>
      </w:r>
      <w:hyperlink w:history="1" r:id="rIddafby5syvdkex7vtn-pbx">
        <w:r>
          <w:rPr>
            <w:rStyle w:val="Hyperlink"/>
            <w:rtl w:val="false"/>
          </w:rPr>
          <w:t xml:space="preserve">power of attorney</w:t>
        </w:r>
      </w:hyperlink>
      <w:r>
        <w:rPr>
          <w:rtl w:val="false"/>
        </w:rPr>
        <w:t xml:space="preserve">. Registering an Ejari contract through a representative requires an official power of attorney.</w:t>
      </w:r>
      <w:r>
        <w:rPr>
          <w:rtl w:val="false"/>
        </w:rPr>
        <w:t xml:space="preserve"> [2]</w:t>
      </w:r>
      <w:r>
        <w:rPr>
          <w:rtl w:val="false"/>
        </w:rPr>
        <w:t xml:space="preserve"> See </w:t>
      </w:r>
      <w:hyperlink w:history="1" r:id="rIdtknzjibu0t9fedb-jggvx">
        <w:r>
          <w:rPr>
            <w:rStyle w:val="Hyperlink"/>
            <w:rtl w:val="false"/>
          </w:rPr>
          <w:t xml:space="preserve">notary public</w:t>
        </w:r>
      </w:hyperlink>
      <w:r>
        <w:rPr>
          <w:rtl w:val="false"/>
        </w:rPr>
        <w:t xml:space="preserve">. If the landlord is a company, enter its </w:t>
      </w:r>
      <w:hyperlink w:history="1" r:id="rIdpoviolzibrmryvv1eoykp">
        <w:r>
          <w:rPr>
            <w:rStyle w:val="Hyperlink"/>
            <w:rtl w:val="false"/>
          </w:rPr>
          <w:t xml:space="preserve">commercial registration</w:t>
        </w:r>
      </w:hyperlink>
      <w:r>
        <w:rPr>
          <w:rtl w:val="false"/>
        </w:rPr>
        <w:t xml:space="preserve"> number.</w:t>
      </w:r>
    </w:p>
  </w:comment>
  <w:comment w:id="1" w:initials="Q" w:author="Qanu" w:date="2026-10-29T00:00:00.000Z">
    <w:p>
      <w:pPr>
        <w:bidi w:val="false"/>
      </w:pPr>
      <w:r>
        <w:rPr>
          <w:b/>
          <w:bCs/>
          <w:rtl w:val="false"/>
        </w:rPr>
        <w:t xml:space="preserve">Drafting note</w:t>
      </w:r>
    </w:p>
    <w:p>
      <w:pPr>
        <w:bidi w:val="false"/>
      </w:pPr>
      <w:r>
        <w:rPr>
          <w:rtl w:val="false"/>
        </w:rPr>
        <w:t xml:space="preserve">Residential use only. Commercial leases are out of scope.</w:t>
      </w:r>
    </w:p>
  </w:comment>
  <w:comment w:id="2" w:initials="Q" w:author="Qanu" w:date="2026-10-29T00:00:00.000Z">
    <w:p>
      <w:pPr>
        <w:bidi w:val="false"/>
      </w:pPr>
      <w:r>
        <w:rPr>
          <w:b/>
          <w:bCs/>
          <w:rtl w:val="false"/>
        </w:rPr>
        <w:t xml:space="preserve">Drafting note</w:t>
      </w:r>
    </w:p>
    <w:p>
      <w:pPr>
        <w:bidi w:val="false"/>
      </w:pPr>
      <w:r>
        <w:rPr>
          <w:rtl w:val="false"/>
        </w:rPr>
        <w:t xml:space="preserve">Rent increases are governed by the law and Decree No. 43 of 2013. Check the DLD rental index rather than a fixed number.</w:t>
      </w:r>
      <w:r>
        <w:rPr>
          <w:rtl w:val="false"/>
        </w:rPr>
        <w:t xml:space="preserve"> [4][5]</w:t>
      </w:r>
    </w:p>
  </w:comment>
  <w:comment w:id="3" w:initials="Q" w:author="Qanu" w:date="2026-10-29T00:00:00.000Z">
    <w:p>
      <w:pPr>
        <w:bidi w:val="false"/>
      </w:pPr>
      <w:r>
        <w:rPr>
          <w:b/>
          <w:bCs/>
          <w:rtl w:val="false"/>
        </w:rPr>
        <w:t xml:space="preserve">Drafting note</w:t>
      </w:r>
    </w:p>
    <w:p>
      <w:pPr>
        <w:bidi w:val="false"/>
      </w:pPr>
      <w:r>
        <w:rPr>
          <w:rtl w:val="false"/>
        </w:rPr>
        <w:t xml:space="preserve">Leases must be written and registered (Art. 4). In the Unified Tenancy Contract the landlord undertakes to register on Ejari.</w:t>
      </w:r>
      <w:r>
        <w:rPr>
          <w:rtl w:val="false"/>
        </w:rPr>
        <w:t xml:space="preserve"> [1][4]</w:t>
      </w:r>
      <w:r>
        <w:rPr>
          <w:rtl w:val="false"/>
        </w:rPr>
        <w:t xml:space="preserve"> This checklist does not replace that form.</w:t>
      </w:r>
    </w:p>
  </w:comment>
  <w:comment w:id="4" w:initials="Q" w:author="Qanu" w:date="2026-10-29T00:00:00.000Z">
    <w:p>
      <w:pPr>
        <w:bidi w:val="false"/>
      </w:pPr>
      <w:r>
        <w:rPr>
          <w:b/>
          <w:bCs/>
          <w:rtl w:val="false"/>
        </w:rPr>
        <w:t xml:space="preserve">Drafting note</w:t>
      </w:r>
    </w:p>
    <w:p>
      <w:pPr>
        <w:bidi w:val="false"/>
      </w:pPr>
      <w:r>
        <w:rPr>
          <w:rtl w:val="false"/>
        </w:rPr>
        <w:t xml:space="preserve">The Dubai Unified Tenancy Contract has a similar term.</w:t>
      </w:r>
      <w:r>
        <w:rPr>
          <w:rtl w:val="false"/>
        </w:rPr>
        <w:t xml:space="preserve"> [4]</w:t>
      </w:r>
    </w:p>
  </w:comment>
  <w:comment w:id="5" w:initials="Q" w:author="Qanu" w:date="2026-10-29T00:00:00.000Z">
    <w:p>
      <w:pPr>
        <w:bidi w:val="false"/>
      </w:pPr>
      <w:r>
        <w:rPr>
          <w:b/>
          <w:bCs/>
          <w:rtl w:val="false"/>
        </w:rPr>
        <w:t xml:space="preserve">Drafting note</w:t>
      </w:r>
    </w:p>
    <w:p>
      <w:pPr>
        <w:bidi w:val="false"/>
      </w:pPr>
      <w:r>
        <w:rPr>
          <w:rtl w:val="false"/>
        </w:rPr>
        <w:t xml:space="preserve">Renewal is covered by Art. 6.</w:t>
      </w:r>
      <w:r>
        <w:rPr>
          <w:rtl w:val="false"/>
        </w:rPr>
        <w:t xml:space="preserve"> [1]</w:t>
      </w:r>
      <w:r>
        <w:rPr>
          <w:rtl w:val="false"/>
        </w:rPr>
        <w:t xml:space="preserve"> Do not invent a shorter notice than Art. 14 unless the official form accepts it.</w:t>
      </w:r>
    </w:p>
  </w:comment>
  <w:comment w:id="6" w:initials="Q" w:author="Qanu" w:date="2026-10-29T00:00:00.000Z">
    <w:p>
      <w:pPr>
        <w:bidi w:val="false"/>
      </w:pPr>
      <w:r>
        <w:rPr>
          <w:b/>
          <w:bCs/>
          <w:rtl w:val="false"/>
        </w:rPr>
        <w:t xml:space="preserve">Drafting note</w:t>
      </w:r>
    </w:p>
    <w:p>
      <w:pPr>
        <w:bidi w:val="false"/>
      </w:pPr>
      <w:r>
        <w:rPr>
          <w:rtl w:val="false"/>
        </w:rPr>
        <w:t xml:space="preserve">Use this draft to settle the wording. The contract that works is the Unified Tenancy Contract registered on Ejari. This is a starting point. Have it reviewed by a lawyer licensed in the relevant jurisdiction before you use 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https://www.qanu.ai/en/templates/dubai-tenancy-contract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https://www.qanu.ai/en/templates/dubai-tenancy-contract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dafby5syvdkex7vtn-pbx" Type="http://schemas.openxmlformats.org/officeDocument/2006/relationships/hyperlink" Target="https://www.qanu.ai/en/glossary/power-of-attorney" TargetMode="External"/><Relationship Id="rIdtknzjibu0t9fedb-jggvx" Type="http://schemas.openxmlformats.org/officeDocument/2006/relationships/hyperlink" Target="https://www.qanu.ai/en/glossary/notary-public" TargetMode="External"/><Relationship Id="rIdpoviolzibrmryvv1eoykp" Type="http://schemas.openxmlformats.org/officeDocument/2006/relationships/hyperlink" Target="https://www.qanu.ai/en/glossary/commercial-regis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8p-fvnwoaf_ghb8zyjitg" Type="http://schemas.openxmlformats.org/officeDocument/2006/relationships/hyperlink" Target="https://dubailand.gov.ae/en/eservices/register-renew-ejari-contract/" TargetMode="External"/><Relationship Id="rIdsg0ftut_xfj6f0cav7den" Type="http://schemas.openxmlformats.org/officeDocument/2006/relationships/hyperlink" Target="https://dubailand.gov.ae/en/eservices/ejari-templates/download-unified-ejari-tenancy-contract" TargetMode="External"/><Relationship Id="rIdewh_mghergsoos0of4q8a" Type="http://schemas.openxmlformats.org/officeDocument/2006/relationships/hyperlink" Target="https://dubailand.gov.ae/media/ivuhfjxa/ejari_unified_tenancy_contract.pdf" TargetMode="External"/><Relationship Id="rIdhp7ksbjabcrzviomotz58" Type="http://schemas.openxmlformats.org/officeDocument/2006/relationships/hyperlink" Target="https://dubailand.gov.ae/en/eservices/rental-index/" TargetMode="External"/><Relationship Id="rIdwyw_63lmelrqdu4rjzcmu" Type="http://schemas.openxmlformats.org/officeDocument/2006/relationships/hyperlink" Target="https://creativecommons.org/licenses/by/4.0/deed.en" TargetMode="External"/><Relationship Id="rIdfywrmcdhznp_szjzccehm" Type="http://schemas.openxmlformats.org/officeDocument/2006/relationships/hyperlink" Target="https://dlp.dubai.gov.ae/Legislation%20Reference/2007/Law%20No.%20(26)%20of%202007.pdf" TargetMode="External"/><Relationship Id="rIdw2w6lvebkph6fshwazwut" Type="http://schemas.openxmlformats.org/officeDocument/2006/relationships/hyperlink" Target="https://dubailand.gov.ae/en/eservices/register-renew-ejari-contract/" TargetMode="External"/><Relationship Id="rIdfcaa7lyq3j1masdc2mumi" Type="http://schemas.openxmlformats.org/officeDocument/2006/relationships/hyperlink" Target="https://dubailand.gov.ae/en/eservices/ejari-templates/download-unified-ejari-tenancy-contract" TargetMode="External"/><Relationship Id="rIdi2a93rwunk9pabp5etfch" Type="http://schemas.openxmlformats.org/officeDocument/2006/relationships/hyperlink" Target="https://dubailand.gov.ae/media/ivuhfjxa/ejari_unified_tenancy_contract.pdf" TargetMode="External"/><Relationship Id="rIdpqd2kxotmjo-unpolspuy" Type="http://schemas.openxmlformats.org/officeDocument/2006/relationships/hyperlink" Target="https://dubailand.gov.ae/en/eservices/rental-index/" TargetMode="External"/><Relationship Id="rId9xbwy0r--6b6z_hrsh7aq" Type="http://schemas.openxmlformats.org/officeDocument/2006/relationships/hyperlink" Target="https://adrec.gov.ae/en/rules_and_regulations/tenancy" TargetMode="External"/><Relationship Id="rIdqvi9ljuzdkwhhcahxnntu" Type="http://schemas.openxmlformats.org/officeDocument/2006/relationships/hyperlink" Target="https://www.tamm.abudhabi/en/articles/lease-registration-guidelines" TargetMode="External"/><Relationship Id="rId7vwcoprt8_tbgavqr0cpn" Type="http://schemas.openxmlformats.org/officeDocument/2006/relationships/hyperlink" Target="https://www.ejar.sa/ar/faqregulation" TargetMode="External"/><Relationship Id="rIdppomblfvypp4y95bmcsdq" Type="http://schemas.openxmlformats.org/officeDocument/2006/relationships/hyperlink" Target="https://www.ejar.sa/en/service/355294" TargetMode="External"/><Relationship Id="rIdpfol9bcemri1dkvytxmle" Type="http://schemas.openxmlformats.org/officeDocument/2006/relationships/hyperlink" Target="https://www.almeezan.qa/LawArticles.aspx?LawArticleID=75041&amp;language=ar&amp;lawId=3982" TargetMode="External"/><Relationship Id="rIdnuiwfmrkgmqqiqfkerbi9" Type="http://schemas.openxmlformats.org/officeDocument/2006/relationships/hyperlink" Target="https://services.bahrain.bh/wps/portal/LeaseContractReg_ar" TargetMode="External"/><Relationship Id="rId8m-tj1tl8sz__dwcuqnn5" Type="http://schemas.openxmlformats.org/officeDocument/2006/relationships/hyperlink" Target="https://eservices.mm.gov.om/" TargetMode="External"/><Relationship Id="rIdx7ep0he1i3orwlfs6l3tf" Type="http://schemas.openxmlformats.org/officeDocument/2006/relationships/hyperlink" Target="https://uaelegislation.gov.ae/en/legislations/401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Dubai tenancy contract (Word &amp; PDF)</dc:title>
  <dc:creator>Qanu</dc:creator>
  <cp:keywords>Dubai tenancy contract, عقد إيجار دبي, Ejari, Unified Tenancy Contract</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2026-10-29T11:28:02.379Z</dcterms:created>
  <dcterms:modified xsi:type="dcterms:W3CDTF">2026-10-29T11:28:02.379Z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https://www.qanu.ai/en/templates/dubai-tenancy-contract</vt:lpwstr>
  </property>
</Properties>
</file>