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ابدأ بالعقد الرسمي.</w:t>
      </w:r>
      <w:r>
        <w:rPr>
          <w:rtl/>
        </w:rPr>
        <w:t xml:space="preserve"> في المملكة العربية السعودية يجب أن يكون عقد العمل وفق النموذج الموحد الذي تعتمده وزارة الموارد البشرية والتنمية الاجتماعية، وأن يُوثَّق عبر منصة </w:t>
      </w:r>
      <w:r>
        <w:rPr>
          <w:b/>
          <w:bCs/>
          <w:rtl/>
        </w:rPr>
        <w:t xml:space="preserve">قوى</w:t>
      </w:r>
      <w:r>
        <w:rPr>
          <w:rtl/>
        </w:rPr>
        <w:t xml:space="preserve">. وفي الإمارات العربية المتحدة تُصدر عقود العمل وتُسجَّل عبر وزارة </w:t>
      </w:r>
      <w:r>
        <w:rPr>
          <w:b/>
          <w:bCs/>
          <w:rtl/>
        </w:rPr>
        <w:t xml:space="preserve">الموارد البشرية والتوطين</w:t>
      </w:r>
      <w:r>
        <w:rPr>
          <w:rtl/>
        </w:rPr>
        <w:t xml:space="preserve">، ويكون العقد المسجَّل ملزماً لطرفيه. استخدم هذا النموذج لإعداد الشروط والتفاوض عليها، ثم أدخلها في المنصة الرسمية.</w:t>
      </w:r>
      <w:r>
        <w:rPr>
          <w:rtl/>
        </w:rPr>
        <w:t xml:space="preserve"> [1][2][3][4][5][6]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إدارة العقود في قوى: </w:t>
      </w:r>
      <w:hyperlink w:history="1" r:id="rIdjip_vrtdkq1--dzrz35dz">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عقود العمل في وزارة الموارد البشرية والتوطين: </w:t>
      </w:r>
      <w:hyperlink w:history="1" r:id="rIdm-iawjhdj-cgmtzf9pgmt">
        <w:r>
          <w:rPr>
            <w:rStyle w:val="Hyperlink"/>
            <w:sz w:val="17"/>
            <w:szCs w:val="17"/>
          </w:rPr>
          <w:t xml:space="preserve">‪https://www.mohre.gov.ae/en/services/issuancerenewal-of-employment-contracts-2022‬</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قطر:</w:t>
      </w:r>
      <w:r>
        <w:rPr>
          <w:sz w:val="19"/>
          <w:szCs w:val="19"/>
          <w:rtl/>
        </w:rPr>
        <w:t xml:space="preserve"> عقد مكتوب يُصدَّق من الإدارة المختصة ويُحرَّر من ثلاث نسخ.</w:t>
      </w:r>
      <w:r>
        <w:rPr>
          <w:sz w:val="19"/>
          <w:szCs w:val="19"/>
          <w:rtl/>
        </w:rPr>
        <w:t xml:space="preserve"> [7]</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w:t>
      </w:r>
      <w:r>
        <w:rPr>
          <w:sz w:val="19"/>
          <w:szCs w:val="19"/>
          <w:rtl/>
        </w:rPr>
        <w:t xml:space="preserve"> عقد مكتوب باللغة العربية من نسختين.</w:t>
      </w:r>
      <w:r>
        <w:rPr>
          <w:sz w:val="19"/>
          <w:szCs w:val="19"/>
          <w:rtl/>
        </w:rPr>
        <w:t xml:space="preserve"> [8]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عُمان:</w:t>
      </w:r>
      <w:r>
        <w:rPr>
          <w:sz w:val="19"/>
          <w:szCs w:val="19"/>
          <w:rtl/>
        </w:rPr>
        <w:t xml:space="preserve"> عقد مكتوب باللغة العربية تعتمده الجهة المختصة.</w:t>
      </w:r>
      <w:r>
        <w:rPr>
          <w:sz w:val="19"/>
          <w:szCs w:val="19"/>
          <w:rtl/>
        </w:rPr>
        <w:t xml:space="preserve"> [9]</w:t>
      </w:r>
    </w:p>
    <w:p>
      <w:pPr>
        <w:bidi/>
        <w:spacing w:after="240"/>
      </w:pPr>
    </w:p>
    <w:p>
      <w:pPr>
        <w:pStyle w:val="Title"/>
        <w:bidi/>
      </w:pPr>
      <w:r>
        <w:rPr>
          <w:rtl/>
        </w:rPr>
        <w:t xml:space="preserve">عقد عمل</w:t>
      </w:r>
    </w:p>
    <w:p>
      <w:pPr>
        <w:bidi/>
        <w:spacing w:after="240"/>
      </w:pPr>
      <w:r>
        <w:rPr>
          <w:color w:val="444444"/>
          <w:rtl/>
        </w:rPr>
        <w:t xml:space="preserve">نموذج أساسي لدول الخليج مع ملحقين نظاميين للمملكة العربية السعودية والإمارات العربية المتحدة. يُستخدم أداةً للصياغة والتفاوض، والعقد الموثَّق في المنصة الرسمية هو العقد الملزم. استبدل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 الخيارات التي لا تنطبق.</w:t>
      </w:r>
    </w:p>
    <w:p>
      <w:pPr>
        <w:pStyle w:val="Heading1"/>
        <w:bidi/>
      </w:pPr>
      <w:commentRangeStart w:id="0"/>
      <w:r>
        <w:rPr>
          <w:rtl/>
        </w:rPr>
        <w:t xml:space="preserve">البند (1): الطرفان</w:t>
      </w:r>
      <w:commentRangeEnd w:id="0"/>
      <w:r>
        <w:rPr>
          <w:rtl/>
        </w:rPr>
        <w:commentReference w:id="0"/>
      </w:r>
    </w:p>
    <w:p>
      <w:pPr>
        <w:bidi/>
      </w:pPr>
      <w:r>
        <w:rPr>
          <w:rtl/>
        </w:rPr>
        <w:t xml:space="preserve">حُرِّر هذا العقد بتاريخ </w:t>
      </w:r>
      <w:r>
        <w:rPr>
          <w:highlight w:val="yellow"/>
          <w:rtl/>
        </w:rPr>
        <w:t xml:space="preserve">[</w:t>
      </w:r>
      <w:r>
        <w:rPr>
          <w:highlight w:val="yellow"/>
          <w:rtl/>
        </w:rPr>
        <w:t xml:space="preserve">التاريخ</w:t>
      </w:r>
      <w:r>
        <w:rPr>
          <w:highlight w:val="yellow"/>
          <w:rtl/>
        </w:rPr>
        <w:t xml:space="preserve">]</w:t>
      </w:r>
      <w:r>
        <w:rPr>
          <w:rtl/>
        </w:rPr>
        <w:t xml:space="preserve"> في مدينة </w:t>
      </w:r>
      <w:r>
        <w:rPr>
          <w:highlight w:val="yellow"/>
          <w:rtl/>
        </w:rPr>
        <w:t xml:space="preserve">[</w:t>
      </w:r>
      <w:r>
        <w:rPr>
          <w:highlight w:val="yellow"/>
          <w:rtl/>
        </w:rPr>
        <w:t xml:space="preserve">●</w:t>
      </w:r>
      <w:r>
        <w:rPr>
          <w:highlight w:val="yellow"/>
          <w:rtl/>
        </w:rPr>
        <w:t xml:space="preserve">]</w:t>
      </w:r>
      <w:r>
        <w:rPr>
          <w:rtl/>
        </w:rPr>
        <w:t xml:space="preserve"> بين كلٍّ من: (1) </w:t>
      </w:r>
      <w:r>
        <w:rPr>
          <w:highlight w:val="yellow"/>
          <w:rtl/>
        </w:rPr>
        <w:t xml:space="preserve">[</w:t>
      </w:r>
      <w:r>
        <w:rPr>
          <w:highlight w:val="yellow"/>
          <w:rtl/>
        </w:rPr>
        <w:t xml:space="preserve">اسم صاحب العمل</w:t>
      </w:r>
      <w:r>
        <w:rPr>
          <w:highlight w:val="yellow"/>
          <w:rtl/>
        </w:rPr>
        <w:t xml:space="preserve">]</w:t>
      </w:r>
      <w:r>
        <w:rPr>
          <w:rtl/>
        </w:rPr>
        <w:t xml:space="preserve">، </w:t>
      </w:r>
      <w:r>
        <w:rPr>
          <w:highlight w:val="yellow"/>
          <w:rtl/>
        </w:rPr>
        <w:t xml:space="preserve">[</w:t>
      </w:r>
      <w:r>
        <w:rPr>
          <w:highlight w:val="yellow"/>
          <w:rtl/>
        </w:rPr>
        <w:t xml:space="preserve">الشكل النظامي</w:t>
      </w:r>
      <w:r>
        <w:rPr>
          <w:highlight w:val="yellow"/>
          <w:rtl/>
        </w:rPr>
        <w:t xml:space="preserve">]</w:t>
      </w:r>
      <w:r>
        <w:rPr>
          <w:rtl/>
        </w:rPr>
        <w:t xml:space="preserve">، سجل تجاري رقم </w:t>
      </w:r>
      <w:r>
        <w:rPr>
          <w:highlight w:val="yellow"/>
          <w:rtl/>
        </w:rPr>
        <w:t xml:space="preserve">[</w:t>
      </w:r>
      <w:r>
        <w:rPr>
          <w:highlight w:val="yellow"/>
          <w:rtl/>
        </w:rPr>
        <w:t xml:space="preserve">●</w:t>
      </w:r>
      <w:r>
        <w:rPr>
          <w:highlight w:val="yellow"/>
          <w:rtl/>
        </w:rPr>
        <w:t xml:space="preserve">]</w:t>
      </w:r>
      <w:r>
        <w:rPr>
          <w:rtl/>
        </w:rPr>
        <w:t xml:space="preserve">، الرقم الموحد للمنشأة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ويمثّله في التوقيع </w:t>
      </w:r>
      <w:r>
        <w:rPr>
          <w:highlight w:val="yellow"/>
          <w:rtl/>
        </w:rPr>
        <w:t xml:space="preserve">[</w:t>
      </w:r>
      <w:r>
        <w:rPr>
          <w:highlight w:val="yellow"/>
          <w:rtl/>
        </w:rPr>
        <w:t xml:space="preserve">الاسم والصفة</w:t>
      </w:r>
      <w:r>
        <w:rPr>
          <w:highlight w:val="yellow"/>
          <w:rtl/>
        </w:rPr>
        <w:t xml:space="preserve">]</w:t>
      </w:r>
      <w:r>
        <w:rPr>
          <w:rtl/>
        </w:rPr>
        <w:t xml:space="preserve"> (ويُشار إليه فيما بعد بـ«صاحب العمل» أو «الطرف الأول»)؛ و(2) </w:t>
      </w:r>
      <w:r>
        <w:rPr>
          <w:highlight w:val="yellow"/>
          <w:rtl/>
        </w:rPr>
        <w:t xml:space="preserve">[</w:t>
      </w:r>
      <w:r>
        <w:rPr>
          <w:highlight w:val="yellow"/>
          <w:rtl/>
        </w:rPr>
        <w:t xml:space="preserve">اسم العامل</w:t>
      </w:r>
      <w:r>
        <w:rPr>
          <w:highlight w:val="yellow"/>
          <w:rtl/>
        </w:rPr>
        <w:t xml:space="preserve">]</w:t>
      </w:r>
      <w:r>
        <w:rPr>
          <w:rtl/>
        </w:rPr>
        <w:t xml:space="preserve">، الجنسية </w:t>
      </w:r>
      <w:r>
        <w:rPr>
          <w:highlight w:val="yellow"/>
          <w:rtl/>
        </w:rPr>
        <w:t xml:space="preserve">[</w:t>
      </w:r>
      <w:r>
        <w:rPr>
          <w:highlight w:val="yellow"/>
          <w:rtl/>
        </w:rPr>
        <w:t xml:space="preserve">●</w:t>
      </w:r>
      <w:r>
        <w:rPr>
          <w:highlight w:val="yellow"/>
          <w:rtl/>
        </w:rPr>
        <w:t xml:space="preserve">]</w:t>
      </w:r>
      <w:r>
        <w:rPr>
          <w:rtl/>
        </w:rPr>
        <w:t xml:space="preserve">، رقم الهوية/الإقامة/جواز السفر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وبريده الإلكتروني </w:t>
      </w:r>
      <w:r>
        <w:rPr>
          <w:highlight w:val="yellow"/>
          <w:rtl/>
        </w:rPr>
        <w:t xml:space="preserve">[</w:t>
      </w:r>
      <w:r>
        <w:rPr>
          <w:highlight w:val="yellow"/>
          <w:rtl/>
        </w:rPr>
        <w:t xml:space="preserve">●</w:t>
      </w:r>
      <w:r>
        <w:rPr>
          <w:highlight w:val="yellow"/>
          <w:rtl/>
        </w:rPr>
        <w:t xml:space="preserve">]</w:t>
      </w:r>
      <w:r>
        <w:rPr>
          <w:rtl/>
        </w:rPr>
        <w:t xml:space="preserve"> (ويُشار إليه فيما بعد بـ«العامل» أو «الطرف الثاني»).</w:t>
      </w:r>
    </w:p>
    <w:p>
      <w:pPr>
        <w:pStyle w:val="Heading1"/>
        <w:bidi/>
      </w:pPr>
      <w:commentRangeStart w:id="1"/>
      <w:r>
        <w:rPr>
          <w:rtl/>
        </w:rPr>
        <w:t xml:space="preserve">البند (2): الوظيفة ومكان العمل</w:t>
      </w:r>
      <w:commentRangeEnd w:id="1"/>
      <w:r>
        <w:rPr>
          <w:rtl/>
        </w:rPr>
        <w:commentReference w:id="1"/>
      </w:r>
    </w:p>
    <w:p>
      <w:pPr>
        <w:bidi/>
      </w:pPr>
      <w:r>
        <w:rPr>
          <w:rtl/>
        </w:rPr>
        <w:t xml:space="preserve">يعمل الطرف الثاني لدى الطرف الأول بوظيفة </w:t>
      </w:r>
      <w:r>
        <w:rPr>
          <w:highlight w:val="yellow"/>
          <w:rtl/>
        </w:rPr>
        <w:t xml:space="preserve">[</w:t>
      </w:r>
      <w:r>
        <w:rPr>
          <w:highlight w:val="yellow"/>
          <w:rtl/>
        </w:rPr>
        <w:t xml:space="preserve">المسمى الوظيفي</w:t>
      </w:r>
      <w:r>
        <w:rPr>
          <w:highlight w:val="yellow"/>
          <w:rtl/>
        </w:rPr>
        <w:t xml:space="preserve">]</w:t>
      </w:r>
      <w:r>
        <w:rPr>
          <w:rtl/>
        </w:rPr>
        <w:t xml:space="preserve"> في </w:t>
      </w:r>
      <w:r>
        <w:rPr>
          <w:highlight w:val="yellow"/>
          <w:rtl/>
        </w:rPr>
        <w:t xml:space="preserve">[</w:t>
      </w:r>
      <w:r>
        <w:rPr>
          <w:highlight w:val="yellow"/>
          <w:rtl/>
        </w:rPr>
        <w:t xml:space="preserve">الإدارة/القسم</w:t>
      </w:r>
      <w:r>
        <w:rPr>
          <w:highlight w:val="yellow"/>
          <w:rtl/>
        </w:rPr>
        <w:t xml:space="preserve">]</w:t>
      </w:r>
      <w:r>
        <w:rPr>
          <w:rtl/>
        </w:rPr>
        <w:t xml:space="preserve">، ومكان العمل </w:t>
      </w:r>
      <w:r>
        <w:rPr>
          <w:highlight w:val="yellow"/>
          <w:rtl/>
        </w:rPr>
        <w:t xml:space="preserve">[</w:t>
      </w:r>
      <w:r>
        <w:rPr>
          <w:highlight w:val="yellow"/>
          <w:rtl/>
        </w:rPr>
        <w:t xml:space="preserve">●</w:t>
      </w:r>
      <w:r>
        <w:rPr>
          <w:highlight w:val="yellow"/>
          <w:rtl/>
        </w:rPr>
        <w:t xml:space="preserve">]</w:t>
      </w:r>
      <w:r>
        <w:rPr>
          <w:rtl/>
        </w:rPr>
        <w:t xml:space="preserve">. وفي المملكة العربية السعودية يجب أن يطابق المسمى الوظيفي لغير السعودي المهنةَ المدونة في رخصة عمله. ويتبع الطرف الثاني إدارياً </w:t>
      </w:r>
      <w:r>
        <w:rPr>
          <w:highlight w:val="yellow"/>
          <w:rtl/>
        </w:rPr>
        <w:t xml:space="preserve">[</w:t>
      </w:r>
      <w:r>
        <w:rPr>
          <w:highlight w:val="yellow"/>
          <w:rtl/>
        </w:rPr>
        <w:t xml:space="preserve">المسمى</w:t>
      </w:r>
      <w:r>
        <w:rPr>
          <w:highlight w:val="yellow"/>
          <w:rtl/>
        </w:rPr>
        <w:t xml:space="preserve">]</w:t>
      </w:r>
      <w:r>
        <w:rPr>
          <w:rtl/>
        </w:rPr>
        <w:t xml:space="preserve">.</w:t>
      </w:r>
    </w:p>
    <w:p>
      <w:pPr>
        <w:pStyle w:val="Heading1"/>
        <w:bidi/>
      </w:pPr>
      <w:commentRangeStart w:id="2"/>
      <w:r>
        <w:rPr>
          <w:rtl/>
        </w:rPr>
        <w:t xml:space="preserve">البند (3): تاريخ المباشرة ومدة العقد</w:t>
      </w:r>
      <w:commentRangeEnd w:id="2"/>
      <w:r>
        <w:rPr>
          <w:rtl/>
        </w:rPr>
        <w:commentReference w:id="2"/>
      </w:r>
    </w:p>
    <w:p>
      <w:pPr>
        <w:bidi/>
      </w:pPr>
      <w:r>
        <w:rPr>
          <w:rtl/>
        </w:rPr>
        <w:t xml:space="preserve">يباشر الطرف الثاني العمل في </w:t>
      </w:r>
      <w:r>
        <w:rPr>
          <w:highlight w:val="yellow"/>
          <w:rtl/>
        </w:rPr>
        <w:t xml:space="preserve">[</w:t>
      </w:r>
      <w:r>
        <w:rPr>
          <w:highlight w:val="yellow"/>
          <w:rtl/>
        </w:rPr>
        <w:t xml:space="preserve">التاريخ</w:t>
      </w:r>
      <w:r>
        <w:rPr>
          <w:highlight w:val="yellow"/>
          <w:rtl/>
        </w:rPr>
        <w:t xml:space="preserve">]</w:t>
      </w:r>
      <w:r>
        <w:rPr>
          <w:rtl/>
        </w:rPr>
        <w:t xml:space="preserve">.</w:t>
      </w:r>
    </w:p>
    <w:p>
      <w:pPr>
        <w:bidi/>
      </w:pPr>
      <w:r>
        <w:rPr>
          <w:b/>
          <w:bCs/>
          <w:rtl/>
        </w:rPr>
        <w:t xml:space="preserve">خيار (أ) – عقد محدد المدة:</w:t>
      </w:r>
      <w:r>
        <w:rPr>
          <w:rtl/>
        </w:rPr>
        <w:t xml:space="preserve"> مدة هذا العقد </w:t>
      </w:r>
      <w:r>
        <w:rPr>
          <w:highlight w:val="yellow"/>
          <w:rtl/>
        </w:rPr>
        <w:t xml:space="preserve">[</w:t>
      </w:r>
      <w:r>
        <w:rPr>
          <w:highlight w:val="yellow"/>
          <w:rtl/>
        </w:rPr>
        <w:t xml:space="preserve">●</w:t>
      </w:r>
      <w:r>
        <w:rPr>
          <w:highlight w:val="yellow"/>
          <w:rtl/>
        </w:rPr>
        <w:t xml:space="preserve">]</w:t>
      </w:r>
      <w:r>
        <w:rPr>
          <w:rtl/>
        </w:rPr>
        <w:t xml:space="preserve"> تبدأ من تاريخ المباشرة.</w:t>
      </w:r>
    </w:p>
    <w:p>
      <w:pPr>
        <w:bidi/>
      </w:pPr>
      <w:r>
        <w:rPr>
          <w:b/>
          <w:bCs/>
          <w:rtl/>
        </w:rPr>
        <w:t xml:space="preserve">خيار (ب) – عقد غير محدد المدة:</w:t>
      </w:r>
      <w:r>
        <w:rPr>
          <w:rtl/>
        </w:rPr>
        <w:t xml:space="preserve"> يُبرَم هذا العقد لمدة غير محددة.</w:t>
      </w:r>
    </w:p>
    <w:p>
      <w:pPr>
        <w:pStyle w:val="Heading1"/>
        <w:bidi/>
      </w:pPr>
      <w:commentRangeStart w:id="3"/>
      <w:r>
        <w:rPr>
          <w:rtl/>
        </w:rPr>
        <w:t xml:space="preserve">البند (4): فترة التجربة</w:t>
      </w:r>
      <w:commentRangeEnd w:id="3"/>
      <w:r>
        <w:rPr>
          <w:rtl/>
        </w:rPr>
        <w:commentReference w:id="3"/>
      </w:r>
    </w:p>
    <w:p>
      <w:pPr>
        <w:bidi/>
      </w:pPr>
      <w:r>
        <w:rPr>
          <w:b/>
          <w:bCs/>
          <w:rtl/>
        </w:rPr>
        <w:t xml:space="preserve">خيار:</w:t>
      </w:r>
      <w:r>
        <w:rPr>
          <w:rtl/>
        </w:rPr>
        <w:t xml:space="preserve"> يخضع الطرف الثاني لفترة تجربة مدتها </w:t>
      </w:r>
      <w:r>
        <w:rPr>
          <w:highlight w:val="yellow"/>
          <w:rtl/>
        </w:rPr>
        <w:t xml:space="preserve">[</w:t>
      </w:r>
      <w:r>
        <w:rPr>
          <w:highlight w:val="yellow"/>
          <w:rtl/>
        </w:rPr>
        <w:t xml:space="preserve">●</w:t>
      </w:r>
      <w:r>
        <w:rPr>
          <w:highlight w:val="yellow"/>
          <w:rtl/>
        </w:rPr>
        <w:t xml:space="preserve">]</w:t>
      </w:r>
      <w:r>
        <w:rPr>
          <w:rtl/>
        </w:rPr>
        <w:t xml:space="preserve"> يوماً من تاريخ المباشرة، ويجوز لأيٍّ من الطرفين إنهاء العقد خلالها وفقاً للنظام المعمول به.</w:t>
      </w:r>
    </w:p>
    <w:p>
      <w:pPr>
        <w:pStyle w:val="Heading1"/>
        <w:bidi/>
      </w:pPr>
      <w:commentRangeStart w:id="4"/>
      <w:r>
        <w:rPr>
          <w:rtl/>
        </w:rPr>
        <w:t xml:space="preserve">البند (5): ساعات العمل والإجازات</w:t>
      </w:r>
      <w:commentRangeEnd w:id="4"/>
      <w:r>
        <w:rPr>
          <w:rtl/>
        </w:rPr>
        <w:commentReference w:id="4"/>
      </w:r>
    </w:p>
    <w:p>
      <w:pPr>
        <w:bidi/>
      </w:pPr>
      <w:r>
        <w:rPr>
          <w:rtl/>
        </w:rPr>
        <w:t xml:space="preserve">تكون ساعات العمل والراحة الأسبوعية والإجازة السنوية والعطل الرسمية على النحو الآتي: </w:t>
      </w:r>
      <w:r>
        <w:rPr>
          <w:highlight w:val="yellow"/>
          <w:rtl/>
        </w:rPr>
        <w:t xml:space="preserve">[</w:t>
      </w:r>
      <w:r>
        <w:rPr>
          <w:highlight w:val="yellow"/>
          <w:rtl/>
        </w:rPr>
        <w:t xml:space="preserve">●</w:t>
      </w:r>
      <w:r>
        <w:rPr>
          <w:highlight w:val="yellow"/>
          <w:rtl/>
        </w:rPr>
        <w:t xml:space="preserve">]</w:t>
      </w:r>
      <w:r>
        <w:rPr>
          <w:rtl/>
        </w:rPr>
        <w:t xml:space="preserve">، على ألّا تقل عمّا يقرره النظام المعمول به.</w:t>
      </w:r>
    </w:p>
    <w:p>
      <w:pPr>
        <w:pStyle w:val="Heading1"/>
        <w:bidi/>
      </w:pPr>
      <w:commentRangeStart w:id="5"/>
      <w:r>
        <w:rPr>
          <w:rtl/>
        </w:rPr>
        <w:t xml:space="preserve">البند (6): الأجر والمزايا</w:t>
      </w:r>
      <w:commentRangeEnd w:id="5"/>
      <w:r>
        <w:rPr>
          <w:rtl/>
        </w:rPr>
        <w:commentReference w:id="5"/>
      </w:r>
    </w:p>
    <w:p>
      <w:pPr>
        <w:bidi/>
      </w:pPr>
      <w:r>
        <w:rPr>
          <w:rtl/>
        </w:rPr>
        <w:t xml:space="preserve">الأجر الأساسي الشهري: </w:t>
      </w:r>
      <w:r>
        <w:rPr>
          <w:highlight w:val="yellow"/>
          <w:rtl/>
        </w:rPr>
        <w:t xml:space="preserve">[</w:t>
      </w:r>
      <w:r>
        <w:rPr>
          <w:highlight w:val="yellow"/>
          <w:rtl/>
        </w:rPr>
        <w:t xml:space="preserve">المبلغ والعملة</w:t>
      </w:r>
      <w:r>
        <w:rPr>
          <w:highlight w:val="yellow"/>
          <w:rtl/>
        </w:rPr>
        <w:t xml:space="preserve">]</w:t>
      </w:r>
      <w:r>
        <w:rPr>
          <w:rtl/>
        </w:rPr>
        <w:t xml:space="preserve">. البدلات: بدل سكن </w:t>
      </w:r>
      <w:r>
        <w:rPr>
          <w:highlight w:val="yellow"/>
          <w:rtl/>
        </w:rPr>
        <w:t xml:space="preserve">[</w:t>
      </w:r>
      <w:r>
        <w:rPr>
          <w:highlight w:val="yellow"/>
          <w:rtl/>
        </w:rPr>
        <w:t xml:space="preserve">●</w:t>
      </w:r>
      <w:r>
        <w:rPr>
          <w:highlight w:val="yellow"/>
          <w:rtl/>
        </w:rPr>
        <w:t xml:space="preserve">]</w:t>
      </w:r>
      <w:r>
        <w:rPr>
          <w:rtl/>
        </w:rPr>
        <w:t xml:space="preserve">، بدل نقل </w:t>
      </w:r>
      <w:r>
        <w:rPr>
          <w:highlight w:val="yellow"/>
          <w:rtl/>
        </w:rPr>
        <w:t xml:space="preserve">[</w:t>
      </w:r>
      <w:r>
        <w:rPr>
          <w:highlight w:val="yellow"/>
          <w:rtl/>
        </w:rPr>
        <w:t xml:space="preserve">●</w:t>
      </w:r>
      <w:r>
        <w:rPr>
          <w:highlight w:val="yellow"/>
          <w:rtl/>
        </w:rPr>
        <w:t xml:space="preserve">]</w:t>
      </w:r>
      <w:r>
        <w:rPr>
          <w:rtl/>
        </w:rPr>
        <w:t xml:space="preserve">، بدلات أخرى </w:t>
      </w:r>
      <w:r>
        <w:rPr>
          <w:highlight w:val="yellow"/>
          <w:rtl/>
        </w:rPr>
        <w:t xml:space="preserve">[</w:t>
      </w:r>
      <w:r>
        <w:rPr>
          <w:highlight w:val="yellow"/>
          <w:rtl/>
        </w:rPr>
        <w:t xml:space="preserve">●</w:t>
      </w:r>
      <w:r>
        <w:rPr>
          <w:highlight w:val="yellow"/>
          <w:rtl/>
        </w:rPr>
        <w:t xml:space="preserve">]</w:t>
      </w:r>
      <w:r>
        <w:rPr>
          <w:rtl/>
        </w:rPr>
        <w:t xml:space="preserve">. ويُصرف الأجر شهرياً بتحويل بنكي إلى حساب الطرف الثاني.</w:t>
      </w:r>
    </w:p>
    <w:p>
      <w:pPr>
        <w:pStyle w:val="Heading1"/>
        <w:bidi/>
      </w:pPr>
      <w:commentRangeStart w:id="6"/>
      <w:r>
        <w:rPr>
          <w:rtl/>
        </w:rPr>
        <w:t xml:space="preserve">البند (7): التأمينات الاجتماعية</w:t>
      </w:r>
      <w:commentRangeEnd w:id="6"/>
      <w:r>
        <w:rPr>
          <w:rtl/>
        </w:rPr>
        <w:commentReference w:id="6"/>
      </w:r>
    </w:p>
    <w:p>
      <w:pPr>
        <w:bidi/>
      </w:pPr>
      <w:r>
        <w:rPr>
          <w:rtl/>
        </w:rPr>
        <w:t xml:space="preserve">يلتزم الطرف الأول بتسجيل الطرف الثاني لدى الجهة المختصة بالتأمينات الاجتماعية متى أوجب النظام ذلك.</w:t>
      </w:r>
    </w:p>
    <w:p>
      <w:pPr>
        <w:pStyle w:val="Heading1"/>
        <w:bidi/>
      </w:pPr>
      <w:commentRangeStart w:id="7"/>
      <w:r>
        <w:rPr>
          <w:rtl/>
        </w:rPr>
        <w:t xml:space="preserve">البند (8): التزامات الطرفين</w:t>
      </w:r>
      <w:commentRangeEnd w:id="7"/>
      <w:r>
        <w:rPr>
          <w:rtl/>
        </w:rPr>
        <w:commentReference w:id="7"/>
      </w:r>
    </w:p>
    <w:p>
      <w:pPr>
        <w:bidi/>
      </w:pPr>
      <w:r>
        <w:rPr>
          <w:rtl/>
        </w:rPr>
        <w:t xml:space="preserve">يلتزم الطرف الثاني بأداء العمل بعناية وإخلاص، وتنفيذ التعليمات المشروعة، والمحافظة على ممتلكات الطرف الأول. ويلتزم الطرف الأول بتمكين الطرف الثاني من العمل المتفق عليه، وأداء أجره في موعده، وتوفير بيئة عمل آمنة.</w:t>
      </w:r>
    </w:p>
    <w:p>
      <w:pPr>
        <w:pStyle w:val="Heading1"/>
        <w:bidi/>
      </w:pPr>
      <w:commentRangeStart w:id="8"/>
      <w:r>
        <w:rPr>
          <w:rtl/>
        </w:rPr>
        <w:t xml:space="preserve">البند (9): السرية</w:t>
      </w:r>
      <w:commentRangeEnd w:id="8"/>
      <w:r>
        <w:rPr>
          <w:rtl/>
        </w:rPr>
        <w:commentReference w:id="8"/>
      </w:r>
    </w:p>
    <w:p>
      <w:pPr>
        <w:bidi/>
      </w:pPr>
      <w:r>
        <w:rPr>
          <w:rtl/>
        </w:rPr>
        <w:t xml:space="preserve">يلتزم الطرف الثاني أثناء سريان العقد وبعد انتهائه بعدم إفشاء المعلومات السرية الخاصة بالطرف الأول، إلا بالقدر الذي يوجبه النظام.</w:t>
      </w:r>
    </w:p>
    <w:p>
      <w:pPr>
        <w:pStyle w:val="Heading1"/>
        <w:bidi/>
      </w:pPr>
      <w:commentRangeStart w:id="9"/>
      <w:r>
        <w:rPr>
          <w:rtl/>
        </w:rPr>
        <w:t xml:space="preserve">البند (10): خيار – عدم المنافسة</w:t>
      </w:r>
      <w:commentRangeEnd w:id="9"/>
      <w:r>
        <w:rPr>
          <w:rtl/>
        </w:rPr>
        <w:commentReference w:id="9"/>
      </w:r>
    </w:p>
    <w:p>
      <w:pPr>
        <w:bidi/>
      </w:pPr>
      <w:r>
        <w:rPr>
          <w:rtl/>
        </w:rPr>
        <w:t xml:space="preserve">يلتزم الطرف الثاني، خلال </w:t>
      </w:r>
      <w:r>
        <w:rPr>
          <w:highlight w:val="yellow"/>
          <w:rtl/>
        </w:rPr>
        <w:t xml:space="preserve">[</w:t>
      </w:r>
      <w:r>
        <w:rPr>
          <w:highlight w:val="yellow"/>
          <w:rtl/>
        </w:rPr>
        <w:t xml:space="preserve">●</w:t>
      </w:r>
      <w:r>
        <w:rPr>
          <w:highlight w:val="yellow"/>
          <w:rtl/>
        </w:rPr>
        <w:t xml:space="preserve">]</w:t>
      </w:r>
      <w:r>
        <w:rPr>
          <w:rtl/>
        </w:rPr>
        <w:t xml:space="preserve"> شهراً من تاريخ انتهاء العقد، بعدم منافسة الطرف الأول في </w:t>
      </w:r>
      <w:r>
        <w:rPr>
          <w:highlight w:val="yellow"/>
          <w:rtl/>
        </w:rPr>
        <w:t xml:space="preserve">[</w:t>
      </w:r>
      <w:r>
        <w:rPr>
          <w:highlight w:val="yellow"/>
          <w:rtl/>
        </w:rPr>
        <w:t xml:space="preserve">النشاط</w:t>
      </w:r>
      <w:r>
        <w:rPr>
          <w:highlight w:val="yellow"/>
          <w:rtl/>
        </w:rPr>
        <w:t xml:space="preserve">]</w:t>
      </w:r>
      <w:r>
        <w:rPr>
          <w:rtl/>
        </w:rPr>
        <w:t xml:space="preserve"> داخل </w:t>
      </w:r>
      <w:r>
        <w:rPr>
          <w:highlight w:val="yellow"/>
          <w:rtl/>
        </w:rPr>
        <w:t xml:space="preserve">[</w:t>
      </w:r>
      <w:r>
        <w:rPr>
          <w:highlight w:val="yellow"/>
          <w:rtl/>
        </w:rPr>
        <w:t xml:space="preserve">النطاق الجغرافي</w:t>
      </w:r>
      <w:r>
        <w:rPr>
          <w:highlight w:val="yellow"/>
          <w:rtl/>
        </w:rPr>
        <w:t xml:space="preserve">]</w:t>
      </w:r>
      <w:r>
        <w:rPr>
          <w:rtl/>
        </w:rPr>
        <w:t xml:space="preserve">.</w:t>
      </w:r>
    </w:p>
    <w:p>
      <w:pPr>
        <w:pStyle w:val="Heading1"/>
        <w:bidi/>
      </w:pPr>
      <w:commentRangeStart w:id="10"/>
      <w:r>
        <w:rPr>
          <w:rtl/>
        </w:rPr>
        <w:t xml:space="preserve">البند (11): انتهاء العقد والإشعار</w:t>
      </w:r>
      <w:commentRangeEnd w:id="10"/>
      <w:r>
        <w:rPr>
          <w:rtl/>
        </w:rPr>
        <w:commentReference w:id="10"/>
      </w:r>
    </w:p>
    <w:p>
      <w:pPr>
        <w:bidi/>
      </w:pPr>
      <w:r>
        <w:rPr>
          <w:rtl/>
        </w:rPr>
        <w:t xml:space="preserve">يجوز لأيٍّ من الطرفين إنهاء هذا العقد في الحالات المقررة في النظام المعمول به، ويكون الإشعار – متى وجب – كتابياً قبل </w:t>
      </w:r>
      <w:r>
        <w:rPr>
          <w:highlight w:val="yellow"/>
          <w:rtl/>
        </w:rPr>
        <w:t xml:space="preserve">[</w:t>
      </w:r>
      <w:r>
        <w:rPr>
          <w:highlight w:val="yellow"/>
          <w:rtl/>
        </w:rPr>
        <w:t xml:space="preserve">●</w:t>
      </w:r>
      <w:r>
        <w:rPr>
          <w:highlight w:val="yellow"/>
          <w:rtl/>
        </w:rPr>
        <w:t xml:space="preserve">]</w:t>
      </w:r>
      <w:r>
        <w:rPr>
          <w:rtl/>
        </w:rPr>
        <w:t xml:space="preserve"> يوماً.</w:t>
      </w:r>
    </w:p>
    <w:p>
      <w:pPr>
        <w:pStyle w:val="Heading1"/>
        <w:bidi/>
      </w:pPr>
      <w:commentRangeStart w:id="11"/>
      <w:r>
        <w:rPr>
          <w:rtl/>
        </w:rPr>
        <w:t xml:space="preserve">البند (12): مكافأة نهاية الخدمة</w:t>
      </w:r>
      <w:commentRangeEnd w:id="11"/>
      <w:r>
        <w:rPr>
          <w:rtl/>
        </w:rPr>
        <w:commentReference w:id="11"/>
      </w:r>
    </w:p>
    <w:p>
      <w:pPr>
        <w:bidi/>
      </w:pPr>
      <w:r>
        <w:rPr>
          <w:rtl/>
        </w:rPr>
        <w:t xml:space="preserve">يستحق الطرف الثاني عند انتهاء العقد مكافأة نهاية الخدمة وفقاً للنظام المعمول به.</w:t>
      </w:r>
    </w:p>
    <w:p>
      <w:pPr>
        <w:pStyle w:val="Heading1"/>
        <w:bidi/>
      </w:pPr>
      <w:commentRangeStart w:id="12"/>
      <w:r>
        <w:rPr>
          <w:rtl/>
        </w:rPr>
        <w:t xml:space="preserve">البند (13): البيانات الشخصية</w:t>
      </w:r>
      <w:commentRangeEnd w:id="12"/>
      <w:r>
        <w:rPr>
          <w:rtl/>
        </w:rPr>
        <w:commentReference w:id="12"/>
      </w:r>
    </w:p>
    <w:p>
      <w:pPr>
        <w:bidi/>
      </w:pPr>
      <w:r>
        <w:rPr>
          <w:rtl/>
        </w:rPr>
        <w:t xml:space="preserve">يعالج الطرف الأول البيانات الشخصية للطرف الثاني لأغراض علاقة العمل فقط ووفقاً لنظام حماية البيانات الشخصية المعمول به.</w:t>
      </w:r>
    </w:p>
    <w:p>
      <w:pPr>
        <w:pStyle w:val="Heading1"/>
        <w:bidi/>
      </w:pPr>
      <w:commentRangeStart w:id="13"/>
      <w:r>
        <w:rPr>
          <w:rtl/>
        </w:rPr>
        <w:t xml:space="preserve">البند (14): النظام الواجب التطبيق وتسوية النزاعات</w:t>
      </w:r>
      <w:commentRangeEnd w:id="13"/>
      <w:r>
        <w:rPr>
          <w:rtl/>
        </w:rPr>
        <w:commentReference w:id="13"/>
      </w:r>
    </w:p>
    <w:p>
      <w:pPr>
        <w:bidi/>
      </w:pPr>
      <w:r>
        <w:rPr>
          <w:rtl/>
        </w:rPr>
        <w:t xml:space="preserve">يخضع هذا العقد لأنظمة </w:t>
      </w:r>
      <w:r>
        <w:rPr>
          <w:highlight w:val="yellow"/>
          <w:rtl/>
        </w:rPr>
        <w:t xml:space="preserve">[</w:t>
      </w:r>
      <w:r>
        <w:rPr>
          <w:highlight w:val="yellow"/>
          <w:rtl/>
        </w:rPr>
        <w:t xml:space="preserve">الدولة/الإمارة</w:t>
      </w:r>
      <w:r>
        <w:rPr>
          <w:highlight w:val="yellow"/>
          <w:rtl/>
        </w:rPr>
        <w:t xml:space="preserve">]</w:t>
      </w:r>
      <w:r>
        <w:rPr>
          <w:rtl/>
        </w:rPr>
        <w:t xml:space="preserve">، ويُحال أي نزاع ينشأ عنه إلى الجهة والمحكمة المختصة وفقاً لها.</w:t>
      </w:r>
    </w:p>
    <w:p>
      <w:pPr>
        <w:pStyle w:val="Heading1"/>
        <w:bidi/>
      </w:pPr>
      <w:commentRangeStart w:id="14"/>
      <w:r>
        <w:rPr>
          <w:rtl/>
        </w:rPr>
        <w:t xml:space="preserve">البند (15): اللغة والنسخ</w:t>
      </w:r>
      <w:commentRangeEnd w:id="14"/>
      <w:r>
        <w:rPr>
          <w:rtl/>
        </w:rPr>
        <w:commentReference w:id="14"/>
      </w:r>
    </w:p>
    <w:p>
      <w:pPr>
        <w:bidi/>
      </w:pPr>
      <w:r>
        <w:rPr>
          <w:rtl/>
        </w:rPr>
        <w:t xml:space="preserve">حُرِّر هذا العقد باللغتين العربية والإنجليزية، وعند التعارض يُعتمد النص العربي. ووُقِّع من </w:t>
      </w:r>
      <w:r>
        <w:rPr>
          <w:highlight w:val="yellow"/>
          <w:rtl/>
        </w:rPr>
        <w:t xml:space="preserve">[</w:t>
      </w:r>
      <w:r>
        <w:rPr>
          <w:highlight w:val="yellow"/>
          <w:rtl/>
        </w:rPr>
        <w:t xml:space="preserve">نسختين/ثلاث نسخ</w:t>
      </w:r>
      <w:r>
        <w:rPr>
          <w:highlight w:val="yellow"/>
          <w:rtl/>
        </w:rPr>
        <w:t xml:space="preserve">]</w:t>
      </w:r>
      <w:r>
        <w:rPr>
          <w:rtl/>
        </w:rPr>
        <w:t xml:space="preserve">.</w:t>
      </w:r>
    </w:p>
    <w:p>
      <w:pPr>
        <w:pStyle w:val="Heading1"/>
        <w:bidi/>
      </w:pPr>
      <w:commentRangeStart w:id="15"/>
      <w:r>
        <w:rPr>
          <w:rtl/>
        </w:rPr>
        <w:t xml:space="preserve">البند (16): العقد الموثَّق</w:t>
      </w:r>
      <w:commentRangeEnd w:id="15"/>
      <w:r>
        <w:rPr>
          <w:rtl/>
        </w:rPr>
        <w:commentReference w:id="15"/>
      </w:r>
    </w:p>
    <w:p>
      <w:pPr>
        <w:bidi/>
      </w:pPr>
      <w:r>
        <w:rPr>
          <w:rtl/>
        </w:rPr>
        <w:t xml:space="preserve">يلتزم الطرفان بتوثيق هذا العقد في المنصة الرسمية متى أوجب النظام ذلك، وعند التعارض بين هذا المستند والعقد الموثَّق يُعمل بالعقد الموثَّق في الحدود التي يقررها النظام.</w:t>
      </w:r>
    </w:p>
    <w:p>
      <w:pPr>
        <w:pStyle w:val="Heading1"/>
        <w:bidi/>
      </w:pPr>
      <w:r>
        <w:rPr>
          <w:rtl/>
        </w:rPr>
        <w:t xml:space="preserve">البند (17): التوقيعات</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الملحق (أ): المملكة العربية السعودية</w:t>
      </w:r>
    </w:p>
    <w:p>
      <w:pPr>
        <w:bidi/>
      </w:pPr>
      <w:r>
        <w:rPr>
          <w:rtl/>
        </w:rPr>
        <w:t xml:space="preserve">نظام العمل الصادر بالمرسوم الملكي رقم (م/51) وتاريخ 23/8/1426هـ، وتعديلاته حتى المرسوم الملكي رقم (م/44) وتاريخ 8/2/1446هـ.</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الحكم</w:t>
            </w:r>
          </w:p>
        </w:tc>
      </w:tr>
      <w:tr>
        <w:trPr>
          <w:cantSplit/>
        </w:trPr>
        <w:tc>
          <w:tcPr>
            <w:tcMar>
              <w:top w:type="dxa" w:w="80"/>
              <w:left w:type="dxa" w:w="100"/>
              <w:bottom w:type="dxa" w:w="80"/>
              <w:right w:type="dxa" w:w="100"/>
            </w:tcMar>
          </w:tcPr>
          <w:p>
            <w:pPr>
              <w:bidi/>
              <w:spacing w:after="0"/>
            </w:pPr>
            <w:r>
              <w:rPr>
                <w:b w:val="false"/>
                <w:sz w:val="18"/>
                <w:szCs w:val="18"/>
                <w:rtl/>
              </w:rPr>
              <w:t xml:space="preserve">الشكل والتوثيق</w:t>
            </w:r>
          </w:p>
        </w:tc>
        <w:tc>
          <w:tcPr>
            <w:tcMar>
              <w:top w:type="dxa" w:w="80"/>
              <w:left w:type="dxa" w:w="100"/>
              <w:bottom w:type="dxa" w:w="80"/>
              <w:right w:type="dxa" w:w="100"/>
            </w:tcMar>
          </w:tcPr>
          <w:p>
            <w:pPr>
              <w:bidi/>
              <w:spacing w:after="0"/>
            </w:pPr>
            <w:r>
              <w:rPr>
                <w:b w:val="false"/>
                <w:sz w:val="18"/>
                <w:szCs w:val="18"/>
                <w:rtl/>
              </w:rPr>
              <w:t xml:space="preserve">وفق النموذج الموحد الذي تعتمده الوزارة، ويُوثَّق عبر منصة قوى (المادتان 51 و52).</w:t>
            </w:r>
            <w:r>
              <w:rPr>
                <w:b w:val="false"/>
                <w:sz w:val="18"/>
                <w:szCs w:val="18"/>
                <w:rtl/>
              </w:rPr>
              <w:t xml:space="preserve"> [1][2]</w:t>
            </w:r>
          </w:p>
        </w:tc>
      </w:tr>
      <w:tr>
        <w:trPr>
          <w:cantSplit/>
        </w:trPr>
        <w:tc>
          <w:tcPr>
            <w:tcMar>
              <w:top w:type="dxa" w:w="80"/>
              <w:left w:type="dxa" w:w="100"/>
              <w:bottom w:type="dxa" w:w="80"/>
              <w:right w:type="dxa" w:w="100"/>
            </w:tcMar>
          </w:tcPr>
          <w:p>
            <w:pPr>
              <w:bidi/>
              <w:spacing w:after="0"/>
            </w:pPr>
            <w:r>
              <w:rPr>
                <w:b w:val="false"/>
                <w:sz w:val="18"/>
                <w:szCs w:val="18"/>
                <w:rtl/>
              </w:rPr>
              <w:t xml:space="preserve">النسخ</w:t>
            </w:r>
          </w:p>
        </w:tc>
        <w:tc>
          <w:tcPr>
            <w:tcMar>
              <w:top w:type="dxa" w:w="80"/>
              <w:left w:type="dxa" w:w="100"/>
              <w:bottom w:type="dxa" w:w="80"/>
              <w:right w:type="dxa" w:w="100"/>
            </w:tcMar>
          </w:tcPr>
          <w:p>
            <w:pPr>
              <w:bidi/>
              <w:spacing w:after="0"/>
            </w:pPr>
            <w:r>
              <w:rPr>
                <w:b w:val="false"/>
                <w:sz w:val="18"/>
                <w:szCs w:val="18"/>
                <w:rtl/>
              </w:rPr>
              <w:t xml:space="preserve">نسختان، لكل طرف نسخة (المادة 51).</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اللغة</w:t>
            </w:r>
          </w:p>
        </w:tc>
        <w:tc>
          <w:tcPr>
            <w:tcMar>
              <w:top w:type="dxa" w:w="80"/>
              <w:left w:type="dxa" w:w="100"/>
              <w:bottom w:type="dxa" w:w="80"/>
              <w:right w:type="dxa" w:w="100"/>
            </w:tcMar>
          </w:tcPr>
          <w:p>
            <w:pPr>
              <w:bidi/>
              <w:spacing w:after="0"/>
            </w:pPr>
            <w:r>
              <w:rPr>
                <w:b w:val="false"/>
                <w:sz w:val="18"/>
                <w:szCs w:val="18"/>
                <w:rtl/>
              </w:rPr>
              <w:t xml:space="preserve">يجب استعمال اللغة العربية، وإذا استُخدمت لغة أجنبية إلى جانبها يُعتمد النص العربي (المادة 9).</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العامل غير السعودي</w:t>
            </w:r>
          </w:p>
        </w:tc>
        <w:tc>
          <w:tcPr>
            <w:tcMar>
              <w:top w:type="dxa" w:w="80"/>
              <w:left w:type="dxa" w:w="100"/>
              <w:bottom w:type="dxa" w:w="80"/>
              <w:right w:type="dxa" w:w="100"/>
            </w:tcMar>
          </w:tcPr>
          <w:p>
            <w:pPr>
              <w:bidi/>
              <w:spacing w:after="0"/>
            </w:pPr>
            <w:r>
              <w:rPr>
                <w:b w:val="false"/>
                <w:sz w:val="18"/>
                <w:szCs w:val="18"/>
                <w:rtl/>
              </w:rPr>
              <w:t xml:space="preserve">عقد مكتوب ومحدد المدة، ومدته سنة من تاريخ مباشرة العمل إذا لم تُحدَّد (المادة 37).</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فترة التجربة</w:t>
            </w:r>
          </w:p>
        </w:tc>
        <w:tc>
          <w:tcPr>
            <w:tcMar>
              <w:top w:type="dxa" w:w="80"/>
              <w:left w:type="dxa" w:w="100"/>
              <w:bottom w:type="dxa" w:w="80"/>
              <w:right w:type="dxa" w:w="100"/>
            </w:tcMar>
          </w:tcPr>
          <w:p>
            <w:pPr>
              <w:bidi/>
              <w:spacing w:after="0"/>
            </w:pPr>
            <w:r>
              <w:rPr>
                <w:b w:val="false"/>
                <w:sz w:val="18"/>
                <w:szCs w:val="18"/>
                <w:rtl/>
              </w:rPr>
              <w:t xml:space="preserve">يُنص عليها صراحةً وتُحدَّد مدتها بوضوح، ولا يزيد مجموعها على مائة وثمانين يوماً (المادة 53).</w:t>
            </w:r>
            <w:r>
              <w:rPr>
                <w:b w:val="false"/>
                <w:sz w:val="18"/>
                <w:szCs w:val="18"/>
                <w:rtl/>
              </w:rPr>
              <w:t xml:space="preserve"> [1][10]</w:t>
            </w:r>
          </w:p>
        </w:tc>
      </w:tr>
      <w:tr>
        <w:trPr>
          <w:cantSplit/>
        </w:trPr>
        <w:tc>
          <w:tcPr>
            <w:tcMar>
              <w:top w:type="dxa" w:w="80"/>
              <w:left w:type="dxa" w:w="100"/>
              <w:bottom w:type="dxa" w:w="80"/>
              <w:right w:type="dxa" w:w="100"/>
            </w:tcMar>
          </w:tcPr>
          <w:p>
            <w:pPr>
              <w:bidi/>
              <w:spacing w:after="0"/>
            </w:pPr>
            <w:r>
              <w:rPr>
                <w:b w:val="false"/>
                <w:sz w:val="18"/>
                <w:szCs w:val="18"/>
                <w:rtl/>
              </w:rPr>
              <w:t xml:space="preserve">الإشعار (عقد غير محدد المدة بأجر شهري)</w:t>
            </w:r>
          </w:p>
        </w:tc>
        <w:tc>
          <w:tcPr>
            <w:tcMar>
              <w:top w:type="dxa" w:w="80"/>
              <w:left w:type="dxa" w:w="100"/>
              <w:bottom w:type="dxa" w:w="80"/>
              <w:right w:type="dxa" w:w="100"/>
            </w:tcMar>
          </w:tcPr>
          <w:p>
            <w:pPr>
              <w:bidi/>
              <w:spacing w:after="0"/>
            </w:pPr>
            <w:r>
              <w:rPr>
                <w:b w:val="false"/>
                <w:sz w:val="18"/>
                <w:szCs w:val="18"/>
                <w:rtl/>
              </w:rPr>
              <w:t xml:space="preserve">إشعار كتابي لا يقل عن ثلاثين يوماً من العامل وستين يوماً من صاحب العمل (المادة 75).</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الاستقالة</w:t>
            </w:r>
          </w:p>
        </w:tc>
        <w:tc>
          <w:tcPr>
            <w:tcMar>
              <w:top w:type="dxa" w:w="80"/>
              <w:left w:type="dxa" w:w="100"/>
              <w:bottom w:type="dxa" w:w="80"/>
              <w:right w:type="dxa" w:w="100"/>
            </w:tcMar>
          </w:tcPr>
          <w:p>
            <w:pPr>
              <w:bidi/>
              <w:spacing w:after="0"/>
            </w:pPr>
            <w:r>
              <w:rPr>
                <w:b w:val="false"/>
                <w:sz w:val="18"/>
                <w:szCs w:val="18"/>
                <w:rtl/>
              </w:rPr>
              <w:t xml:space="preserve">تُعدّ مقبولة بمضي ثلاثين يوماً دون رد، ولصاحب العمل تأجيل قبولها مدة لا تزيد على ستين يوماً بقرار مكتوب مسبَّب (المادة 79 مكرر).</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عدم المنافسة والسرية</w:t>
            </w:r>
          </w:p>
        </w:tc>
        <w:tc>
          <w:tcPr>
            <w:tcMar>
              <w:top w:type="dxa" w:w="80"/>
              <w:left w:type="dxa" w:w="100"/>
              <w:bottom w:type="dxa" w:w="80"/>
              <w:right w:type="dxa" w:w="100"/>
            </w:tcMar>
          </w:tcPr>
          <w:p>
            <w:pPr>
              <w:bidi/>
              <w:spacing w:after="0"/>
            </w:pPr>
            <w:r>
              <w:rPr>
                <w:b w:val="false"/>
                <w:sz w:val="18"/>
                <w:szCs w:val="18"/>
                <w:rtl/>
              </w:rPr>
              <w:t xml:space="preserve">تعهد مكتوب ومحدد زماناً ومكاناً ونوعَ عمل، ولا تزيد مدته على سنتين من انتهاء العلاقة (المادة 83).</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مكافأة نهاية الخدمة</w:t>
            </w:r>
          </w:p>
        </w:tc>
        <w:tc>
          <w:tcPr>
            <w:tcMar>
              <w:top w:type="dxa" w:w="80"/>
              <w:left w:type="dxa" w:w="100"/>
              <w:bottom w:type="dxa" w:w="80"/>
              <w:right w:type="dxa" w:w="100"/>
            </w:tcMar>
          </w:tcPr>
          <w:p>
            <w:pPr>
              <w:bidi/>
              <w:spacing w:after="0"/>
            </w:pPr>
            <w:r>
              <w:rPr>
                <w:b w:val="false"/>
                <w:sz w:val="18"/>
                <w:szCs w:val="18"/>
                <w:rtl/>
              </w:rPr>
              <w:t xml:space="preserve">أجر نصف شهر عن كل سنة من السنوات الخمس الأولى، وأجر شهر عن كل سنة تالية، على أساس الأجر الأخير (المادة 84). وعند الاستقالة: ثلث المكافأة بعد سنتين إلى خمس سنوات، وثلثاها بعد خمس إلى عشر سنوات، وكاملها بعد عشر سنوات (المادة 85).</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التجديد</w:t>
            </w:r>
          </w:p>
        </w:tc>
        <w:tc>
          <w:tcPr>
            <w:tcMar>
              <w:top w:type="dxa" w:w="80"/>
              <w:left w:type="dxa" w:w="100"/>
              <w:bottom w:type="dxa" w:w="80"/>
              <w:right w:type="dxa" w:w="100"/>
            </w:tcMar>
          </w:tcPr>
          <w:p>
            <w:pPr>
              <w:bidi/>
              <w:spacing w:after="0"/>
            </w:pPr>
            <w:r>
              <w:rPr>
                <w:b w:val="false"/>
                <w:sz w:val="18"/>
                <w:szCs w:val="18"/>
                <w:rtl/>
              </w:rPr>
              <w:t xml:space="preserve">يتحول العقد المتضمن شرط التجديد إلى عقد غير محدد المدة بعد ثلاث تجديدات متتالية أو أربع سنوات، أيهما أقل (المادة 55).</w:t>
            </w:r>
            <w:r>
              <w:rPr>
                <w:b w:val="false"/>
                <w:sz w:val="18"/>
                <w:szCs w:val="18"/>
                <w:rtl/>
              </w:rPr>
              <w:t xml:space="preserve"> [1]</w:t>
            </w:r>
          </w:p>
        </w:tc>
      </w:tr>
    </w:tbl>
    <w:p>
      <w:pPr>
        <w:bidi/>
      </w:pPr>
    </w:p>
    <w:p>
      <w:pPr>
        <w:pStyle w:val="Heading1"/>
        <w:pageBreakBefore/>
        <w:bidi/>
      </w:pPr>
      <w:r>
        <w:rPr>
          <w:rtl/>
        </w:rPr>
        <w:t xml:space="preserve">الملحق (ب): الإمارات العربية المتحدة</w:t>
      </w:r>
    </w:p>
    <w:p>
      <w:pPr>
        <w:bidi/>
      </w:pPr>
      <w:r>
        <w:rPr>
          <w:rtl/>
        </w:rPr>
        <w:t xml:space="preserve">المرسوم بقانون اتحادي رقم (33) لسنة 2021 بشأن تنظيم علاقات العمل وتعديلاته.</w:t>
      </w:r>
      <w:r>
        <w:rPr>
          <w:rtl/>
        </w:rPr>
        <w:t xml:space="preserve"> [4]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الحكم</w:t>
            </w:r>
          </w:p>
        </w:tc>
      </w:tr>
      <w:tr>
        <w:trPr>
          <w:cantSplit/>
        </w:trPr>
        <w:tc>
          <w:tcPr>
            <w:tcMar>
              <w:top w:type="dxa" w:w="80"/>
              <w:left w:type="dxa" w:w="100"/>
              <w:bottom w:type="dxa" w:w="80"/>
              <w:right w:type="dxa" w:w="100"/>
            </w:tcMar>
          </w:tcPr>
          <w:p>
            <w:pPr>
              <w:bidi/>
              <w:spacing w:after="0"/>
            </w:pPr>
            <w:r>
              <w:rPr>
                <w:b w:val="false"/>
                <w:sz w:val="18"/>
                <w:szCs w:val="18"/>
                <w:rtl/>
              </w:rPr>
              <w:t xml:space="preserve">النطاق</w:t>
            </w:r>
          </w:p>
        </w:tc>
        <w:tc>
          <w:tcPr>
            <w:tcMar>
              <w:top w:type="dxa" w:w="80"/>
              <w:left w:type="dxa" w:w="100"/>
              <w:bottom w:type="dxa" w:w="80"/>
              <w:right w:type="dxa" w:w="100"/>
            </w:tcMar>
          </w:tcPr>
          <w:p>
            <w:pPr>
              <w:bidi/>
              <w:spacing w:after="0"/>
            </w:pPr>
            <w:r>
              <w:rPr>
                <w:b w:val="false"/>
                <w:sz w:val="18"/>
                <w:szCs w:val="18"/>
                <w:rtl/>
              </w:rPr>
              <w:t xml:space="preserve">القطاع الخاص، ويُستثنى موظفو الحكومة الاتحادية والحكومات المحلية، ومنتسبو القوات المسلحة والشرطة والأمن، وعمال الخدمة المساعدة (المادة 3). ولمركز دبي المالي العالمي وسوق أبوظبي العالمي أنظمة توظيف خاصة بهما.</w:t>
            </w:r>
            <w:r>
              <w:rPr>
                <w:b w:val="false"/>
                <w:sz w:val="18"/>
                <w:szCs w:val="18"/>
                <w:rtl/>
              </w:rPr>
              <w:t xml:space="preserve"> [4][14][15][16]</w:t>
            </w:r>
          </w:p>
        </w:tc>
      </w:tr>
      <w:tr>
        <w:trPr>
          <w:cantSplit/>
        </w:trPr>
        <w:tc>
          <w:tcPr>
            <w:tcMar>
              <w:top w:type="dxa" w:w="80"/>
              <w:left w:type="dxa" w:w="100"/>
              <w:bottom w:type="dxa" w:w="80"/>
              <w:right w:type="dxa" w:w="100"/>
            </w:tcMar>
          </w:tcPr>
          <w:p>
            <w:pPr>
              <w:bidi/>
              <w:spacing w:after="0"/>
            </w:pPr>
            <w:r>
              <w:rPr>
                <w:b w:val="false"/>
                <w:sz w:val="18"/>
                <w:szCs w:val="18"/>
                <w:rtl/>
              </w:rPr>
              <w:t xml:space="preserve">الشكل</w:t>
            </w:r>
          </w:p>
        </w:tc>
        <w:tc>
          <w:tcPr>
            <w:tcMar>
              <w:top w:type="dxa" w:w="80"/>
              <w:left w:type="dxa" w:w="100"/>
              <w:bottom w:type="dxa" w:w="80"/>
              <w:right w:type="dxa" w:w="100"/>
            </w:tcMar>
          </w:tcPr>
          <w:p>
            <w:pPr>
              <w:bidi/>
              <w:spacing w:after="0"/>
            </w:pPr>
            <w:r>
              <w:rPr>
                <w:b w:val="false"/>
                <w:sz w:val="18"/>
                <w:szCs w:val="18"/>
                <w:rtl/>
              </w:rPr>
              <w:t xml:space="preserve">عقد مكتوب من نسختين وفق النماذج التي تحددها اللائحة التنفيذية (قرار مجلس الوزراء رقم 1 لسنة 2022) وتعتمدها الوزارة (المادة 8)، ويكون العقد المسجَّل ملزماً.</w:t>
            </w:r>
            <w:r>
              <w:rPr>
                <w:b w:val="false"/>
                <w:sz w:val="18"/>
                <w:szCs w:val="18"/>
                <w:rtl/>
              </w:rPr>
              <w:t xml:space="preserve"> [4][5][6]</w:t>
            </w:r>
          </w:p>
        </w:tc>
      </w:tr>
      <w:tr>
        <w:trPr>
          <w:cantSplit/>
        </w:trPr>
        <w:tc>
          <w:tcPr>
            <w:tcMar>
              <w:top w:type="dxa" w:w="80"/>
              <w:left w:type="dxa" w:w="100"/>
              <w:bottom w:type="dxa" w:w="80"/>
              <w:right w:type="dxa" w:w="100"/>
            </w:tcMar>
          </w:tcPr>
          <w:p>
            <w:pPr>
              <w:bidi/>
              <w:spacing w:after="0"/>
            </w:pPr>
            <w:r>
              <w:rPr>
                <w:b w:val="false"/>
                <w:sz w:val="18"/>
                <w:szCs w:val="18"/>
                <w:rtl/>
              </w:rPr>
              <w:t xml:space="preserve">المدة</w:t>
            </w:r>
          </w:p>
        </w:tc>
        <w:tc>
          <w:tcPr>
            <w:tcMar>
              <w:top w:type="dxa" w:w="80"/>
              <w:left w:type="dxa" w:w="100"/>
              <w:bottom w:type="dxa" w:w="80"/>
              <w:right w:type="dxa" w:w="100"/>
            </w:tcMar>
          </w:tcPr>
          <w:p>
            <w:pPr>
              <w:bidi/>
              <w:spacing w:after="0"/>
            </w:pPr>
            <w:r>
              <w:rPr>
                <w:b w:val="false"/>
                <w:sz w:val="18"/>
                <w:szCs w:val="18"/>
                <w:rtl/>
              </w:rPr>
              <w:t xml:space="preserve">محدد المدة، ويجوز تجديده (المادة 8).</w:t>
            </w:r>
            <w:r>
              <w:rPr>
                <w:b w:val="false"/>
                <w:sz w:val="18"/>
                <w:szCs w:val="18"/>
                <w:rtl/>
              </w:rPr>
              <w:t xml:space="preserve"> [4][11]</w:t>
            </w:r>
          </w:p>
        </w:tc>
      </w:tr>
      <w:tr>
        <w:trPr>
          <w:cantSplit/>
        </w:trPr>
        <w:tc>
          <w:tcPr>
            <w:tcMar>
              <w:top w:type="dxa" w:w="80"/>
              <w:left w:type="dxa" w:w="100"/>
              <w:bottom w:type="dxa" w:w="80"/>
              <w:right w:type="dxa" w:w="100"/>
            </w:tcMar>
          </w:tcPr>
          <w:p>
            <w:pPr>
              <w:bidi/>
              <w:spacing w:after="0"/>
            </w:pPr>
            <w:r>
              <w:rPr>
                <w:b w:val="false"/>
                <w:sz w:val="18"/>
                <w:szCs w:val="18"/>
                <w:rtl/>
              </w:rPr>
              <w:t xml:space="preserve">فترة التجربة</w:t>
            </w:r>
          </w:p>
        </w:tc>
        <w:tc>
          <w:tcPr>
            <w:tcMar>
              <w:top w:type="dxa" w:w="80"/>
              <w:left w:type="dxa" w:w="100"/>
              <w:bottom w:type="dxa" w:w="80"/>
              <w:right w:type="dxa" w:w="100"/>
            </w:tcMar>
          </w:tcPr>
          <w:p>
            <w:pPr>
              <w:bidi/>
              <w:spacing w:after="0"/>
            </w:pPr>
            <w:r>
              <w:rPr>
                <w:b w:val="false"/>
                <w:sz w:val="18"/>
                <w:szCs w:val="18"/>
                <w:rtl/>
              </w:rPr>
              <w:t xml:space="preserve">لا تزيد على ستة أشهر، ويكون الإنهاء خلالها بإشعار كتابي (المادة 9).</w:t>
            </w:r>
            <w:r>
              <w:rPr>
                <w:b w:val="false"/>
                <w:sz w:val="18"/>
                <w:szCs w:val="18"/>
                <w:rtl/>
              </w:rPr>
              <w:t xml:space="preserve"> [4][11]</w:t>
            </w:r>
          </w:p>
        </w:tc>
      </w:tr>
      <w:tr>
        <w:trPr>
          <w:cantSplit/>
        </w:trPr>
        <w:tc>
          <w:tcPr>
            <w:tcMar>
              <w:top w:type="dxa" w:w="80"/>
              <w:left w:type="dxa" w:w="100"/>
              <w:bottom w:type="dxa" w:w="80"/>
              <w:right w:type="dxa" w:w="100"/>
            </w:tcMar>
          </w:tcPr>
          <w:p>
            <w:pPr>
              <w:bidi/>
              <w:spacing w:after="0"/>
            </w:pPr>
            <w:r>
              <w:rPr>
                <w:b w:val="false"/>
                <w:sz w:val="18"/>
                <w:szCs w:val="18"/>
                <w:rtl/>
              </w:rPr>
              <w:t xml:space="preserve">الإشعار</w:t>
            </w:r>
          </w:p>
        </w:tc>
        <w:tc>
          <w:tcPr>
            <w:tcMar>
              <w:top w:type="dxa" w:w="80"/>
              <w:left w:type="dxa" w:w="100"/>
              <w:bottom w:type="dxa" w:w="80"/>
              <w:right w:type="dxa" w:w="100"/>
            </w:tcMar>
          </w:tcPr>
          <w:p>
            <w:pPr>
              <w:bidi/>
              <w:spacing w:after="0"/>
            </w:pPr>
            <w:r>
              <w:rPr>
                <w:b w:val="false"/>
                <w:sz w:val="18"/>
                <w:szCs w:val="18"/>
                <w:rtl/>
              </w:rPr>
              <w:t xml:space="preserve">لا يقل عن ثلاثين يوماً ولا يزيد على تسعين يوماً (المادة 43).</w:t>
            </w:r>
            <w:r>
              <w:rPr>
                <w:b w:val="false"/>
                <w:sz w:val="18"/>
                <w:szCs w:val="18"/>
                <w:rtl/>
              </w:rPr>
              <w:t xml:space="preserve"> [4][12]</w:t>
            </w:r>
          </w:p>
        </w:tc>
      </w:tr>
      <w:tr>
        <w:trPr>
          <w:cantSplit/>
        </w:trPr>
        <w:tc>
          <w:tcPr>
            <w:tcMar>
              <w:top w:type="dxa" w:w="80"/>
              <w:left w:type="dxa" w:w="100"/>
              <w:bottom w:type="dxa" w:w="80"/>
              <w:right w:type="dxa" w:w="100"/>
            </w:tcMar>
          </w:tcPr>
          <w:p>
            <w:pPr>
              <w:bidi/>
              <w:spacing w:after="0"/>
            </w:pPr>
            <w:r>
              <w:rPr>
                <w:b w:val="false"/>
                <w:sz w:val="18"/>
                <w:szCs w:val="18"/>
                <w:rtl/>
              </w:rPr>
              <w:t xml:space="preserve">عدم المنافسة</w:t>
            </w:r>
          </w:p>
        </w:tc>
        <w:tc>
          <w:tcPr>
            <w:tcMar>
              <w:top w:type="dxa" w:w="80"/>
              <w:left w:type="dxa" w:w="100"/>
              <w:bottom w:type="dxa" w:w="80"/>
              <w:right w:type="dxa" w:w="100"/>
            </w:tcMar>
          </w:tcPr>
          <w:p>
            <w:pPr>
              <w:bidi/>
              <w:spacing w:after="0"/>
            </w:pPr>
            <w:r>
              <w:rPr>
                <w:b w:val="false"/>
                <w:sz w:val="18"/>
                <w:szCs w:val="18"/>
                <w:rtl/>
              </w:rPr>
              <w:t xml:space="preserve">محدد زماناً ومكاناً ونوعَ عمل، ولا تزيد مدته على سنتين من انتهاء العقد (المادة 10).</w:t>
            </w:r>
            <w:r>
              <w:rPr>
                <w:b w:val="false"/>
                <w:sz w:val="18"/>
                <w:szCs w:val="18"/>
                <w:rtl/>
              </w:rPr>
              <w:t xml:space="preserve"> [4][11]</w:t>
            </w:r>
          </w:p>
        </w:tc>
      </w:tr>
      <w:tr>
        <w:trPr>
          <w:cantSplit/>
        </w:trPr>
        <w:tc>
          <w:tcPr>
            <w:tcMar>
              <w:top w:type="dxa" w:w="80"/>
              <w:left w:type="dxa" w:w="100"/>
              <w:bottom w:type="dxa" w:w="80"/>
              <w:right w:type="dxa" w:w="100"/>
            </w:tcMar>
          </w:tcPr>
          <w:p>
            <w:pPr>
              <w:bidi/>
              <w:spacing w:after="0"/>
            </w:pPr>
            <w:r>
              <w:rPr>
                <w:b w:val="false"/>
                <w:sz w:val="18"/>
                <w:szCs w:val="18"/>
                <w:rtl/>
              </w:rPr>
              <w:t xml:space="preserve">مكافأة نهاية الخدمة (الدوام الكامل)</w:t>
            </w:r>
          </w:p>
        </w:tc>
        <w:tc>
          <w:tcPr>
            <w:tcMar>
              <w:top w:type="dxa" w:w="80"/>
              <w:left w:type="dxa" w:w="100"/>
              <w:bottom w:type="dxa" w:w="80"/>
              <w:right w:type="dxa" w:w="100"/>
            </w:tcMar>
          </w:tcPr>
          <w:p>
            <w:pPr>
              <w:bidi/>
              <w:spacing w:after="0"/>
            </w:pPr>
            <w:r>
              <w:rPr>
                <w:b w:val="false"/>
                <w:sz w:val="18"/>
                <w:szCs w:val="18"/>
                <w:rtl/>
              </w:rPr>
              <w:t xml:space="preserve">أجر أساسي عن واحد وعشرين يوماً عن كل سنة من السنوات الخمس الأولى، وعن ثلاثين يوماً عن كل سنة تالية، ولا يزيد مجموعها على أجر سنتين (المادة 51).</w:t>
            </w:r>
            <w:r>
              <w:rPr>
                <w:b w:val="false"/>
                <w:sz w:val="18"/>
                <w:szCs w:val="18"/>
                <w:rtl/>
              </w:rPr>
              <w:t xml:space="preserve"> [4][13]</w:t>
            </w:r>
          </w:p>
        </w:tc>
      </w:tr>
      <w:tr>
        <w:trPr>
          <w:cantSplit/>
        </w:trPr>
        <w:tc>
          <w:tcPr>
            <w:tcMar>
              <w:top w:type="dxa" w:w="80"/>
              <w:left w:type="dxa" w:w="100"/>
              <w:bottom w:type="dxa" w:w="80"/>
              <w:right w:type="dxa" w:w="100"/>
            </w:tcMar>
          </w:tcPr>
          <w:p>
            <w:pPr>
              <w:bidi/>
              <w:spacing w:after="0"/>
            </w:pPr>
            <w:r>
              <w:rPr>
                <w:b w:val="false"/>
                <w:sz w:val="18"/>
                <w:szCs w:val="18"/>
                <w:rtl/>
              </w:rPr>
              <w:t xml:space="preserve">التعديل</w:t>
            </w:r>
          </w:p>
        </w:tc>
        <w:tc>
          <w:tcPr>
            <w:tcMar>
              <w:top w:type="dxa" w:w="80"/>
              <w:left w:type="dxa" w:w="100"/>
              <w:bottom w:type="dxa" w:w="80"/>
              <w:right w:type="dxa" w:w="100"/>
            </w:tcMar>
          </w:tcPr>
          <w:p>
            <w:pPr>
              <w:bidi/>
              <w:spacing w:after="0"/>
            </w:pPr>
            <w:r>
              <w:rPr>
                <w:b w:val="false"/>
                <w:sz w:val="18"/>
                <w:szCs w:val="18"/>
                <w:rtl/>
              </w:rPr>
              <w:t xml:space="preserve">يلزم لتعديل العقد المسجَّل موافقة الوزارة، وقد يُعاقب تقديم بيانات غير صحيحة بغرامة تصل إلى 20,000 درهم.</w:t>
            </w:r>
            <w:r>
              <w:rPr>
                <w:b w:val="false"/>
                <w:sz w:val="18"/>
                <w:szCs w:val="18"/>
                <w:rtl/>
              </w:rPr>
              <w:t xml:space="preserve"> [6]</w:t>
            </w:r>
          </w:p>
        </w:tc>
      </w:tr>
    </w:tbl>
    <w:p>
      <w:pPr>
        <w:bidi/>
      </w:pPr>
    </w:p>
    <w:p>
      <w:pPr>
        <w:pStyle w:val="Heading1"/>
        <w:bidi/>
      </w:pPr>
      <w:r>
        <w:rPr>
          <w:rtl/>
        </w:rPr>
        <w:t xml:space="preserve">دول الخليج الأخرى</w:t>
      </w:r>
    </w:p>
    <w:p>
      <w:pPr>
        <w:pStyle w:val="ListParagraph"/>
        <w:numPr>
          <w:ilvl w:val="0"/>
          <w:numId w:val="2"/>
        </w:numPr>
        <w:bidi/>
      </w:pPr>
      <w:r>
        <w:rPr>
          <w:b/>
          <w:bCs/>
          <w:rtl/>
        </w:rPr>
        <w:t xml:space="preserve">قطر:</w:t>
      </w:r>
      <w:r>
        <w:rPr>
          <w:rtl/>
        </w:rPr>
        <w:t xml:space="preserve"> يجب أن يكون عقد العمل مكتوباً ومصدَّقاً من الإدارة المختصة، وأن يُحرَّر من ثلاث نسخ: لكل طرف نسخة، وتُودَع الثالثة لدى الإدارة (المادة 38 من قانون العمل رقم 14 لسنة 2004).</w:t>
      </w:r>
      <w:r>
        <w:rPr>
          <w:rtl/>
        </w:rPr>
        <w:t xml:space="preserve"> [7]</w:t>
      </w:r>
    </w:p>
    <w:p>
      <w:pPr>
        <w:pStyle w:val="ListParagraph"/>
        <w:numPr>
          <w:ilvl w:val="0"/>
          <w:numId w:val="2"/>
        </w:numPr>
        <w:bidi/>
      </w:pPr>
      <w:r>
        <w:rPr>
          <w:b/>
          <w:bCs/>
          <w:rtl/>
        </w:rPr>
        <w:t xml:space="preserve">البحرين:</w:t>
      </w:r>
      <w:r>
        <w:rPr>
          <w:rtl/>
        </w:rPr>
        <w:t xml:space="preserve"> يجب أن يكون عقد العمل مكتوباً باللغة العربية ومن نسختين، لكل طرف نسخة، وإذا حُرِّر بلغة أخرى أُرفقت به ترجمة عربية (المادة 19 من القانون رقم 36 لسنة 2012).</w:t>
      </w:r>
      <w:r>
        <w:rPr>
          <w:rtl/>
        </w:rPr>
        <w:t xml:space="preserve"> [8]</w:t>
      </w:r>
    </w:p>
    <w:p>
      <w:pPr>
        <w:pStyle w:val="ListParagraph"/>
        <w:numPr>
          <w:ilvl w:val="0"/>
          <w:numId w:val="2"/>
        </w:numPr>
        <w:bidi/>
      </w:pPr>
      <w:r>
        <w:rPr>
          <w:b/>
          <w:bCs/>
          <w:rtl/>
        </w:rPr>
        <w:t xml:space="preserve">عُمان:</w:t>
      </w:r>
      <w:r>
        <w:rPr>
          <w:rtl/>
        </w:rPr>
        <w:t xml:space="preserve"> يجب أن يكون عقد العمل مكتوباً باللغة العربية ومن نسختين، وإذا حُرِّر بلغة أخرى أُرفقت به نسخة عربية، ويُعتمد من الجهة المختصة (المادة 33 من قانون العمل الصادر بالمرسوم السلطاني رقم 53/2023، وفق ملخص وزارة العمل).</w:t>
      </w:r>
      <w:r>
        <w:rPr>
          <w:rtl/>
        </w:rPr>
        <w:t xml:space="preserve"> [9]</w:t>
      </w:r>
    </w:p>
    <w:p>
      <w:pPr>
        <w:pStyle w:val="ListParagraph"/>
        <w:numPr>
          <w:ilvl w:val="0"/>
          <w:numId w:val="2"/>
        </w:numPr>
        <w:bidi/>
      </w:pPr>
      <w:r>
        <w:rPr>
          <w:b/>
          <w:bCs/>
          <w:rtl/>
        </w:rPr>
        <w:t xml:space="preserve">الكويت:</w:t>
      </w:r>
      <w:r>
        <w:rPr>
          <w:rtl/>
        </w:rPr>
        <w:t xml:space="preserve"> يسري قانون العمل في القطاع الأهلي رقم 6 لسنة 2010.</w:t>
      </w:r>
      <w:r>
        <w:rPr>
          <w:rtl/>
        </w:rPr>
        <w:t xml:space="preserve"> [19]</w:t>
      </w:r>
      <w:r>
        <w:rPr>
          <w:rtl/>
        </w:rPr>
        <w:t xml:space="preserve"> تحقّق من الإجراءات النافذة مع محامٍ كويتي.</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tcv3c-hor_1mcoiwj-dx4">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‪https://www.qanu.ai/ar/نماذج/نموذج-عقد-عمل‬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الموارد البشرية والتنمية الاجتماعية، نظام العمل الصادر بالمرسوم الملكي رقم (م/51) وتاريخ 23/8/1426هـ، النص المحدَّث بتعديلاته حتى المرسوم الملكي رقم (م/44) وتاريخ 8/2/1446هـ (PDF) </w:t>
      </w:r>
      <w:hyperlink w:history="1" r:id="rId955gb6zthyaxuf2qtvuop">
        <w:r>
          <w:rPr>
            <w:rStyle w:val="Hyperlink"/>
            <w:sz w:val="16"/>
            <w:szCs w:val="16"/>
          </w:rPr>
          <w:t xml:space="preserve">https://www.hrsd.gov.sa/sites/default/files/2025-11/labor-law.pdf</w:t>
        </w:r>
      </w:hyperlink>
    </w:p>
    <w:p>
      <w:pPr>
        <w:bidi/>
        <w:ind w:start="360" w:hanging="360"/>
      </w:pPr>
      <w:r>
        <w:rPr>
          <w:sz w:val="18"/>
          <w:szCs w:val="18"/>
          <w:rtl/>
        </w:rPr>
        <w:t xml:space="preserve">[2] وزارة الموارد البشرية والتنمية الاجتماعية، خبر توثيق عقود العمل عبر منصة قوى </w:t>
      </w:r>
      <w:hyperlink w:history="1" r:id="rId9jcthqmyrn-js97evgfix">
        <w:r>
          <w:rPr>
            <w:rStyle w:val="Hyperlink"/>
            <w:sz w:val="16"/>
            <w:szCs w:val="16"/>
          </w:rPr>
          <w:t xml:space="preserve">https://www.hrsd.gov.sa/media-center/news/1171584</w:t>
        </w:r>
      </w:hyperlink>
    </w:p>
    <w:p>
      <w:pPr>
        <w:bidi/>
        <w:ind w:start="360" w:hanging="360"/>
      </w:pPr>
      <w:r>
        <w:rPr>
          <w:sz w:val="18"/>
          <w:szCs w:val="18"/>
          <w:rtl/>
        </w:rPr>
        <w:t xml:space="preserve">[3] منصة قوى، خدمة إدارة العقود لأصحاب الأعمال </w:t>
      </w:r>
      <w:hyperlink w:history="1" r:id="rIdzvrgulqpx3abqjubvj31z">
        <w:r>
          <w:rPr>
            <w:rStyle w:val="Hyperlink"/>
            <w:sz w:val="16"/>
            <w:szCs w:val="16"/>
          </w:rPr>
          <w:t xml:space="preserve">https://qiwa.sa/ar/service-overview/business-owners/manage-current-employees/contract-management</w:t>
        </w:r>
      </w:hyperlink>
    </w:p>
    <w:p>
      <w:pPr>
        <w:bidi/>
        <w:ind w:start="360" w:hanging="360"/>
      </w:pPr>
      <w:r>
        <w:rPr>
          <w:sz w:val="18"/>
          <w:szCs w:val="18"/>
          <w:rtl/>
        </w:rPr>
        <w:t xml:space="preserve">[4] وزارة الموارد البشرية والتوطين، المرسوم بقانون اتحادي رقم (33) لسنة 2021 بشأن تنظيم علاقات العمل وتعديلاته (PDF) </w:t>
      </w:r>
      <w:hyperlink w:history="1" r:id="rIdte-ugm1fscdu_fvddvf46">
        <w:r>
          <w:rPr>
            <w:rStyle w:val="Hyperlink"/>
            <w:sz w:val="16"/>
            <w:szCs w:val="16"/>
          </w:rPr>
          <w:t xml:space="preserve">https://www.mohre.gov.ae/assets/download/dcafb8f4/Federal%20Decree-Law%20No.%2033%20of%202021%20Regarding%20the%20Regulation%20of%20Employment%20Relationship%20and%20its%20amendments.pdf.aspx</w:t>
        </w:r>
      </w:hyperlink>
    </w:p>
    <w:p>
      <w:pPr>
        <w:bidi/>
        <w:ind w:start="360" w:hanging="360"/>
      </w:pPr>
      <w:r>
        <w:rPr>
          <w:sz w:val="18"/>
          <w:szCs w:val="18"/>
          <w:rtl/>
        </w:rPr>
        <w:t xml:space="preserve">[5] وزارة الموارد البشرية والتوطين، خدمة إصدار عقود العمل وتجديدها </w:t>
      </w:r>
      <w:hyperlink w:history="1" r:id="rIdy_hgxbohg8p3eq4k9bvhi">
        <w:r>
          <w:rPr>
            <w:rStyle w:val="Hyperlink"/>
            <w:sz w:val="16"/>
            <w:szCs w:val="16"/>
          </w:rPr>
          <w:t xml:space="preserve">https://www.mohre.gov.ae/en/services/issuancerenewal-of-employment-contracts-2022</w:t>
        </w:r>
      </w:hyperlink>
    </w:p>
    <w:p>
      <w:pPr>
        <w:bidi/>
        <w:ind w:start="360" w:hanging="360"/>
      </w:pPr>
      <w:r>
        <w:rPr>
          <w:sz w:val="18"/>
          <w:szCs w:val="18"/>
          <w:rtl/>
        </w:rPr>
        <w:t xml:space="preserve">[6] البوابة الرسمية لحكومة الإمارات (u.ae)، توظيف الوافدين في القطاع الخاص </w:t>
      </w:r>
      <w:hyperlink w:history="1" r:id="rId9tlgmzmjc8gx0nlqsagnf">
        <w:r>
          <w:rPr>
            <w:rStyle w:val="Hyperlink"/>
            <w:sz w:val="16"/>
            <w:szCs w:val="16"/>
          </w:rPr>
          <w:t xml:space="preserve">https://u.ae/en/information-and-services/jobs/Sector-of-employment/employment-in-the-private-sector/expatriates-employment-in-private-sector</w:t>
        </w:r>
      </w:hyperlink>
    </w:p>
    <w:p>
      <w:pPr>
        <w:bidi/>
        <w:ind w:start="360" w:hanging="360"/>
      </w:pPr>
      <w:r>
        <w:rPr>
          <w:sz w:val="18"/>
          <w:szCs w:val="18"/>
          <w:rtl/>
        </w:rPr>
        <w:t xml:space="preserve">[7] الميزان – البوابة القانونية القطرية، قانون العمل رقم (14) لسنة 2004 </w:t>
      </w:r>
      <w:hyperlink w:history="1" r:id="rIdtmqbb-531bc7m-tp_2xuc">
        <w:r>
          <w:rPr>
            <w:rStyle w:val="Hyperlink"/>
            <w:sz w:val="16"/>
            <w:szCs w:val="16"/>
          </w:rPr>
          <w:t xml:space="preserve">https://www.almeezan.qa/LawArticles.aspx?LawTreeSectionID=12642&amp;language=ar&amp;lawId=3961</w:t>
        </w:r>
      </w:hyperlink>
    </w:p>
    <w:p>
      <w:pPr>
        <w:bidi/>
        <w:ind w:start="360" w:hanging="360"/>
      </w:pPr>
      <w:r>
        <w:rPr>
          <w:sz w:val="18"/>
          <w:szCs w:val="18"/>
          <w:rtl/>
        </w:rPr>
        <w:t xml:space="preserve">[8] هيئة تنظيم سوق العمل (البحرين)، قانون العمل في القطاع الأهلي رقم (36) لسنة 2012 (PDF) </w:t>
      </w:r>
      <w:hyperlink w:history="1" r:id="rId3wptjebzo7_npu2_2wivi">
        <w:r>
          <w:rPr>
            <w:rStyle w:val="Hyperlink"/>
            <w:sz w:val="16"/>
            <w:szCs w:val="16"/>
          </w:rPr>
          <w:t xml:space="preserve">https://www.lmra.gov.bh/files/cms/downloads/english_attachment/labour_law.pdf</w:t>
        </w:r>
      </w:hyperlink>
    </w:p>
    <w:p>
      <w:pPr>
        <w:bidi/>
        <w:ind w:start="360" w:hanging="360"/>
      </w:pPr>
      <w:r>
        <w:rPr>
          <w:sz w:val="18"/>
          <w:szCs w:val="18"/>
          <w:rtl/>
        </w:rPr>
        <w:t xml:space="preserve">[9] وزارة العمل في سلطنة عُمان، حقوق العامل وواجباته </w:t>
      </w:r>
      <w:hyperlink w:history="1" r:id="rIdkgoqydg3k0hvsu753kuss">
        <w:r>
          <w:rPr>
            <w:rStyle w:val="Hyperlink"/>
            <w:sz w:val="16"/>
            <w:szCs w:val="16"/>
          </w:rPr>
          <w:t xml:space="preserve">https://www.mol.gov.om/pages/Employee-Rights-And-Duties</w:t>
        </w:r>
      </w:hyperlink>
    </w:p>
    <w:p>
      <w:pPr>
        <w:bidi/>
        <w:ind w:start="360" w:hanging="360"/>
      </w:pPr>
      <w:r>
        <w:rPr>
          <w:sz w:val="18"/>
          <w:szCs w:val="18"/>
          <w:rtl/>
        </w:rPr>
        <w:t xml:space="preserve">[10] وزارة الموارد البشرية والتنمية الاجتماعية، ملخص التعديلات التي تمت على نظام العمل، أغسطس 2024 (PDF) </w:t>
      </w:r>
      <w:hyperlink w:history="1" r:id="rIddmcxr1ig_igfxcxah1cup">
        <w:r>
          <w:rPr>
            <w:rStyle w:val="Hyperlink"/>
            <w:sz w:val="16"/>
            <w:szCs w:val="16"/>
          </w:rPr>
          <w:t xml:space="preserve">https://www.hrsd.gov.sa/sites/default/files/2024-08/%D9%85%D9%84%D8%AE%D8%B5%20%D8%A7%D9%84%D8%AA%D8%B9%D8%AF%D9%8A%D9%84%D8%A7%D8%AA%20%D8%A7%D9%84%D8%AA%D9%8A%20%D8%AA%D9%85%D8%AA%20%D8%B9%D9%84%D9%89%20%D9%86%D8%B8%D8%A7%D9%85%20%D8%A7%D9%84%D8%B9%D9%85%D9%84.pdf</w:t>
        </w:r>
      </w:hyperlink>
    </w:p>
    <w:p>
      <w:pPr>
        <w:bidi/>
        <w:ind w:start="360" w:hanging="360"/>
      </w:pPr>
      <w:r>
        <w:rPr>
          <w:sz w:val="18"/>
          <w:szCs w:val="18"/>
          <w:rtl/>
        </w:rPr>
        <w:t xml:space="preserve">[11] البوابة الرسمية لحكومة الإمارات (u.ae)، عقود العمل في القطاع الخاص: مدتها ونماذجها </w:t>
      </w:r>
      <w:hyperlink w:history="1" r:id="rId02-tcitzmknkz34-zyla6">
        <w:r>
          <w:rPr>
            <w:rStyle w:val="Hyperlink"/>
            <w:sz w:val="16"/>
            <w:szCs w:val="16"/>
          </w:rPr>
          <w:t xml:space="preserve">https://u.ae/en/information-and-services/jobs/Sector-of-employment/employment-in-the-private-sector/employment-contracts-duration-and-models-in-the-private-sector</w:t>
        </w:r>
      </w:hyperlink>
    </w:p>
    <w:p>
      <w:pPr>
        <w:bidi/>
        <w:ind w:start="360" w:hanging="360"/>
      </w:pPr>
      <w:r>
        <w:rPr>
          <w:sz w:val="18"/>
          <w:szCs w:val="18"/>
          <w:rtl/>
        </w:rPr>
        <w:t xml:space="preserve">[12] البوابة الرسمية لحكومة الإمارات (u.ae)، إنهاء عقود العمل </w:t>
      </w:r>
      <w:hyperlink w:history="1" r:id="rIdr_umcipnkeqdoiclngyq6">
        <w:r>
          <w:rPr>
            <w:rStyle w:val="Hyperlink"/>
            <w:sz w:val="16"/>
            <w:szCs w:val="16"/>
          </w:rPr>
          <w:t xml:space="preserve">https://u.ae/en/information-and-services/jobs/Sector-of-employment/employment-in-the-private-sector/terminating-employment-contracts</w:t>
        </w:r>
      </w:hyperlink>
    </w:p>
    <w:p>
      <w:pPr>
        <w:bidi/>
        <w:ind w:start="360" w:hanging="360"/>
      </w:pPr>
      <w:r>
        <w:rPr>
          <w:sz w:val="18"/>
          <w:szCs w:val="18"/>
          <w:rtl/>
        </w:rPr>
        <w:t xml:space="preserve">[13] البوابة الرسمية لحكومة الإمارات (u.ae)، مكافأة نهاية الخدمة للعاملين في القطاع الخاص </w:t>
      </w:r>
      <w:hyperlink w:history="1" r:id="rIdiq8ylftgq7vevbuy4r4qz">
        <w:r>
          <w:rPr>
            <w:rStyle w:val="Hyperlink"/>
            <w:sz w:val="16"/>
            <w:szCs w:val="16"/>
          </w:rPr>
          <w:t xml:space="preserve">https://u.ae/en/information-and-services/jobs/Sector-of-employment/employment-in-the-private-sector/end-of-service-benefits-for-employees-in-the-private-sector</w:t>
        </w:r>
      </w:hyperlink>
    </w:p>
    <w:p>
      <w:pPr>
        <w:bidi/>
        <w:ind w:start="360" w:hanging="360"/>
      </w:pPr>
      <w:r>
        <w:rPr>
          <w:sz w:val="18"/>
          <w:szCs w:val="18"/>
          <w:rtl/>
        </w:rPr>
        <w:t xml:space="preserve">[14] البوابة الرسمية لحكومة الإمارات (u.ae)، قوانين وأنظمة العمل في القطاع الخاص </w:t>
      </w:r>
      <w:hyperlink w:history="1" r:id="rIdo-oyjobefq_bj3ivfip72">
        <w:r>
          <w:rPr>
            <w:rStyle w:val="Hyperlink"/>
            <w:sz w:val="16"/>
            <w:szCs w:val="16"/>
          </w:rPr>
          <w:t xml:space="preserve">https://u.ae/en/information-and-services/jobs/Sector-of-employment/employment-in-the-private-sector/employment-laws-and-regulations-in-the-private-sector</w:t>
        </w:r>
      </w:hyperlink>
    </w:p>
    <w:p>
      <w:pPr>
        <w:bidi/>
        <w:ind w:start="360" w:hanging="360"/>
      </w:pPr>
      <w:r>
        <w:rPr>
          <w:sz w:val="18"/>
          <w:szCs w:val="18"/>
          <w:rtl/>
        </w:rPr>
        <w:t xml:space="preserve">[15] سوق أبوظبي العالمي، مكتب شؤون التوظيف </w:t>
      </w:r>
      <w:hyperlink w:history="1" r:id="rIdglj8ee-hdansqq9mfoalq">
        <w:r>
          <w:rPr>
            <w:rStyle w:val="Hyperlink"/>
            <w:sz w:val="16"/>
            <w:szCs w:val="16"/>
          </w:rPr>
          <w:t xml:space="preserve">https://www.adgm.com/operating-in-adgm/employment-affairs-office</w:t>
        </w:r>
      </w:hyperlink>
    </w:p>
    <w:p>
      <w:pPr>
        <w:bidi/>
        <w:ind w:start="360" w:hanging="360"/>
      </w:pPr>
      <w:r>
        <w:rPr>
          <w:sz w:val="18"/>
          <w:szCs w:val="18"/>
          <w:rtl/>
        </w:rPr>
        <w:t xml:space="preserve">[16] مركز دبي المالي العالمي، قانون التوظيف (قانون المركز رقم 2 لسنة 2019) </w:t>
      </w:r>
      <w:hyperlink w:history="1" r:id="rIddbu2_gv0zfjdywb0yczbv">
        <w:r>
          <w:rPr>
            <w:rStyle w:val="Hyperlink"/>
            <w:sz w:val="16"/>
            <w:szCs w:val="16"/>
          </w:rPr>
          <w:t xml:space="preserve">https://www.difc.com/business/laws-and-regulations/legal-database/difc-laws/employment-law-difc-law-no-2-of-2019</w:t>
        </w:r>
      </w:hyperlink>
    </w:p>
    <w:p>
      <w:pPr>
        <w:bidi/>
        <w:ind w:start="360" w:hanging="360"/>
      </w:pPr>
      <w:r>
        <w:rPr>
          <w:sz w:val="18"/>
          <w:szCs w:val="18"/>
          <w:rtl/>
        </w:rPr>
        <w:t xml:space="preserve">[17] الهيئة السعودية للبيانات والذكاء الاصطناعي (سدايا)، بوابة نظام حماية البيانات الشخصية </w:t>
      </w:r>
      <w:hyperlink w:history="1" r:id="rId1z_idqgot3a-_i_le-g1o">
        <w:r>
          <w:rPr>
            <w:rStyle w:val="Hyperlink"/>
            <w:sz w:val="16"/>
            <w:szCs w:val="16"/>
          </w:rPr>
          <w:t xml:space="preserve">https://dgp.sdaia.gov.sa/wps/portal/pdp/home</w:t>
        </w:r>
      </w:hyperlink>
    </w:p>
    <w:p>
      <w:pPr>
        <w:bidi/>
        <w:ind w:start="360" w:hanging="360"/>
      </w:pPr>
      <w:r>
        <w:rPr>
          <w:sz w:val="18"/>
          <w:szCs w:val="18"/>
          <w:rtl/>
        </w:rPr>
        <w:t xml:space="preserve">[18] البوابة الرسمية لحكومة الإمارات (u.ae)، قوانين حماية البيانات </w:t>
      </w:r>
      <w:hyperlink w:history="1" r:id="rIdoiag5s-bqszzhloikel7n">
        <w:r>
          <w:rPr>
            <w:rStyle w:val="Hyperlink"/>
            <w:sz w:val="16"/>
            <w:szCs w:val="16"/>
          </w:rPr>
          <w:t xml:space="preserve">https://u.ae/en/about-the-uae/digital-uae/data/data-protection-laws</w:t>
        </w:r>
      </w:hyperlink>
    </w:p>
    <w:p>
      <w:pPr>
        <w:bidi/>
        <w:ind w:start="360" w:hanging="360"/>
      </w:pPr>
      <w:r>
        <w:rPr>
          <w:sz w:val="18"/>
          <w:szCs w:val="18"/>
          <w:rtl/>
        </w:rPr>
        <w:t xml:space="preserve">[19] وزارة العدل الكويتية، القانون رقم (6) لسنة 2010 في شأن العمل في القطاع الأهلي (PDF) </w:t>
      </w:r>
      <w:hyperlink w:history="1" r:id="rIdgsstxdlt-l67zwqzi3w-c">
        <w:r>
          <w:rPr>
            <w:rStyle w:val="Hyperlink"/>
            <w:sz w:val="16"/>
            <w:szCs w:val="16"/>
          </w:rPr>
          <w:t xml:space="preserve">https://www.moj.gov.kw/AR/Documents/MojDocs/%D9%82%D8%A7%D9%86%D9%88%D9%86%20%D8%B1%D9%82%D9%85%206%20%D9%84%D8%B3%D9%86%D8%A9%202010%20%D8%A8%D8%A5%D8%B5%D8%AF%D8%A7%D8%B1%20%D9%82%D8%A7%D9%86%D9%88%D9%86%20%D8%A7%D9%84%D8%B9%D9%85%D9%84%20%D9%81%D9%8A%20%D8%A7%D9%84%D9%82%D8%B7%D8%A7%D8%B9%20%D8%A7%D9%84%D8%A7%D9%87%D9%84%D9%8A.pdf</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يُكتب اسم صاحب العمل كما ورد حرفياً في </w:t>
      </w:r>
      <w:hyperlink w:history="1" r:id="rIdfmolrgbvok6r7_kf4to2h">
        <w:r>
          <w:rPr>
            <w:rStyle w:val="Hyperlink"/>
            <w:rtl/>
          </w:rPr>
          <w:t xml:space="preserve">السجل التجاري</w:t>
        </w:r>
      </w:hyperlink>
      <w:r>
        <w:rPr>
          <w:rtl/>
        </w:rPr>
        <w:t xml:space="preserve">. وفي المملكة العربية السعودية يتضمن النموذج الموحد اسم صاحب العمل ومكانه، واسم العامل وجنسيته وما يلزم لإثبات شخصيته وعنوانه.</w:t>
      </w:r>
      <w:r>
        <w:rPr>
          <w:rtl/>
        </w:rPr>
        <w:t xml:space="preserve"> [1]</w:t>
      </w:r>
    </w:p>
  </w:comment>
  <w:comment w:id="1" w:initials="Q" w:author="Qanu" w:date="2026-10-17T00:00:00.000Z">
    <w:p>
      <w:pPr>
        <w:bidi/>
      </w:pPr>
      <w:r>
        <w:rPr>
          <w:b/>
          <w:bCs/>
          <w:rtl/>
        </w:rPr>
        <w:t xml:space="preserve">ملاحظة صياغة</w:t>
      </w:r>
    </w:p>
    <w:p>
      <w:pPr>
        <w:bidi/>
      </w:pPr>
      <w:r>
        <w:rPr>
          <w:rtl/>
        </w:rPr>
        <w:t xml:space="preserve">المادة (38) من نظام العمل السعودي: لا يجوز لصاحب العمل أن يُشغّل العامل في مهنة غير المهنة المدونة في رخصة عمله. ونوع العمل ومكانه من البيانات الإلزامية في النموذج الموحد.</w:t>
      </w:r>
      <w:r>
        <w:rPr>
          <w:rtl/>
        </w:rPr>
        <w:t xml:space="preserve"> [1]</w:t>
      </w:r>
    </w:p>
  </w:comment>
  <w:comment w:id="2" w:initials="Q" w:author="Qanu" w:date="2026-10-17T00:00:00.000Z">
    <w:p>
      <w:pPr>
        <w:bidi/>
      </w:pPr>
      <w:r>
        <w:rPr>
          <w:b/>
          <w:bCs/>
          <w:rtl/>
        </w:rPr>
        <w:t xml:space="preserve">ملاحظة صياغة</w:t>
      </w:r>
    </w:p>
    <w:p>
      <w:pPr>
        <w:bidi/>
      </w:pPr>
      <w:r>
        <w:rPr>
          <w:rtl/>
        </w:rPr>
        <w:t xml:space="preserve">• المملكة العربية السعودية: يجب أن يكون عقد العامل غير السعودي مكتوباً ومحدد المدة، فإذا خلا من بيان المدة عُدّت مدته سنة من تاريخ مباشرة العمل (المادة 37). ويتحول العقد المتضمن شرط التجديد إلى عقد غير محدد المدة إذا جُدِّد ثلاث مرات متتالية أو بلغت مدته الأصلية مع مدد التجديد أربع سنوات، أيهما أقل (المادة 55).</w:t>
      </w:r>
      <w:r>
        <w:rPr>
          <w:rtl/>
        </w:rPr>
        <w:t xml:space="preserve"> [1]</w:t>
      </w:r>
    </w:p>
    <w:p>
      <w:pPr>
        <w:bidi/>
      </w:pPr>
      <w:r>
        <w:rPr>
          <w:rtl/>
        </w:rPr>
        <w:t xml:space="preserve">• الإمارات العربية المتحدة: يكون العقد محدد المدة ويجوز تجديده (المادة 8).</w:t>
      </w:r>
      <w:r>
        <w:rPr>
          <w:rtl/>
        </w:rPr>
        <w:t xml:space="preserve"> [4][11]</w:t>
      </w:r>
    </w:p>
    <w:p>
      <w:pPr>
        <w:bidi/>
      </w:pPr>
      <w:r>
        <w:rPr>
          <w:rtl/>
        </w:rPr>
        <w:t xml:space="preserve">• احذف الخيار الذي لا ينطبق.</w:t>
      </w:r>
    </w:p>
  </w:comment>
  <w:comment w:id="3" w:initials="Q" w:author="Qanu" w:date="2026-10-17T00:00:00.000Z">
    <w:p>
      <w:pPr>
        <w:bidi/>
      </w:pPr>
      <w:r>
        <w:rPr>
          <w:b/>
          <w:bCs/>
          <w:rtl/>
        </w:rPr>
        <w:t xml:space="preserve">ملاحظة صياغة</w:t>
      </w:r>
    </w:p>
    <w:p>
      <w:pPr>
        <w:bidi/>
      </w:pPr>
      <w:r>
        <w:rPr>
          <w:rtl/>
        </w:rPr>
        <w:t xml:space="preserve">• المملكة العربية السعودية: يجب النص على </w:t>
      </w:r>
      <w:hyperlink w:history="1" r:id="rIdgubyuioo0tvesrm0kxhrz">
        <w:r>
          <w:rPr>
            <w:rStyle w:val="Hyperlink"/>
            <w:rtl/>
          </w:rPr>
          <w:t xml:space="preserve">فترة التجربة</w:t>
        </w:r>
      </w:hyperlink>
      <w:r>
        <w:rPr>
          <w:rtl/>
        </w:rPr>
        <w:t xml:space="preserve"> صراحةً في العقد وتحديد مدتها بوضوح، على ألّا يزيد مجموعها على مائة وثمانين يوماً (المادة 53).</w:t>
      </w:r>
      <w:r>
        <w:rPr>
          <w:rtl/>
        </w:rPr>
        <w:t xml:space="preserve"> [1][10]</w:t>
      </w:r>
    </w:p>
    <w:p>
      <w:pPr>
        <w:bidi/>
      </w:pPr>
      <w:r>
        <w:rPr>
          <w:rtl/>
        </w:rPr>
        <w:t xml:space="preserve">• الإمارات العربية المتحدة: لا تزيد فترة التجربة على ستة أشهر، ويكون الإنهاء خلالها بإشعار كتابي (المادة 9).</w:t>
      </w:r>
      <w:r>
        <w:rPr>
          <w:rtl/>
        </w:rPr>
        <w:t xml:space="preserve"> [4][11]</w:t>
      </w:r>
    </w:p>
    <w:p>
      <w:pPr>
        <w:bidi/>
      </w:pPr>
      <w:r>
        <w:rPr>
          <w:rtl/>
        </w:rPr>
        <w:t xml:space="preserve">• انظر الملحقين (أ) و(ب).</w:t>
      </w:r>
    </w:p>
  </w:comment>
  <w:comment w:id="4" w:initials="Q" w:author="Qanu" w:date="2026-10-17T00:00:00.000Z">
    <w:p>
      <w:pPr>
        <w:bidi/>
      </w:pPr>
      <w:r>
        <w:rPr>
          <w:b/>
          <w:bCs/>
          <w:rtl/>
        </w:rPr>
        <w:t xml:space="preserve">ملاحظة صياغة</w:t>
      </w:r>
    </w:p>
    <w:p>
      <w:pPr>
        <w:bidi/>
      </w:pPr>
      <w:r>
        <w:rPr>
          <w:rtl/>
        </w:rPr>
        <w:t xml:space="preserve">لم نُورد الحدود الدنيا النظامية في هذا البند عمداً؛ فتحقّق من النظام ولوائحه النافذة في الدولة المعنية.</w:t>
      </w:r>
    </w:p>
  </w:comment>
  <w:comment w:id="5" w:initials="Q" w:author="Qanu" w:date="2026-10-17T00:00:00.000Z">
    <w:p>
      <w:pPr>
        <w:bidi/>
      </w:pPr>
      <w:r>
        <w:rPr>
          <w:b/>
          <w:bCs/>
          <w:rtl/>
        </w:rPr>
        <w:t xml:space="preserve">ملاحظة صياغة</w:t>
      </w:r>
    </w:p>
    <w:p>
      <w:pPr>
        <w:bidi/>
      </w:pPr>
      <w:r>
        <w:rPr>
          <w:rtl/>
        </w:rPr>
        <w:t xml:space="preserve">في المملكة العربية السعودية يُعدّ الأجر المتفق عليه بما فيه المزايا والبدلات من البيانات الإلزامية في النموذج الموحد، وتُحسب مكافأة نهاية الخدمة على أساس الأجر الأخير (المادة 84).</w:t>
      </w:r>
      <w:r>
        <w:rPr>
          <w:rtl/>
        </w:rPr>
        <w:t xml:space="preserve"> [1]</w:t>
      </w:r>
      <w:r>
        <w:rPr>
          <w:rtl/>
        </w:rPr>
        <w:t xml:space="preserve"> وفي الإمارات العربية المتحدة تُحسب المكافأة على أساس الأجر الأساسي (المادة 51).</w:t>
      </w:r>
      <w:r>
        <w:rPr>
          <w:rtl/>
        </w:rPr>
        <w:t xml:space="preserve"> [4][13]</w:t>
      </w:r>
      <w:r>
        <w:rPr>
          <w:rtl/>
        </w:rPr>
        <w:t xml:space="preserve"> لذا افصل الأجر الأساسي عن البدلات فصلاً واضحاً.</w:t>
      </w:r>
    </w:p>
  </w:comment>
  <w:comment w:id="6" w:initials="Q" w:author="Qanu" w:date="2026-10-17T00:00:00.000Z">
    <w:p>
      <w:pPr>
        <w:bidi/>
      </w:pPr>
      <w:r>
        <w:rPr>
          <w:b/>
          <w:bCs/>
          <w:rtl/>
        </w:rPr>
        <w:t xml:space="preserve">ملاحظة صياغة</w:t>
      </w:r>
    </w:p>
    <w:p>
      <w:pPr>
        <w:bidi/>
      </w:pPr>
      <w:r>
        <w:rPr>
          <w:rtl/>
        </w:rPr>
        <w:t xml:space="preserve">في المملكة العربية السعودية ترتبط منصة قوى بالمؤسسة العامة للتأمينات الاجتماعية.</w:t>
      </w:r>
      <w:r>
        <w:rPr>
          <w:rtl/>
        </w:rPr>
        <w:t xml:space="preserve"> [2]</w:t>
      </w:r>
      <w:r>
        <w:rPr>
          <w:rtl/>
        </w:rPr>
        <w:t xml:space="preserve"> ولا يذكر النموذج نسب الاشتراك؛ فتحقّق منها لدى الجهة المختصة.</w:t>
      </w:r>
    </w:p>
  </w:comment>
  <w:comment w:id="7" w:initials="Q" w:author="Qanu" w:date="2026-10-17T00:00:00.000Z">
    <w:p>
      <w:pPr>
        <w:bidi/>
      </w:pPr>
      <w:r>
        <w:rPr>
          <w:b/>
          <w:bCs/>
          <w:rtl/>
        </w:rPr>
        <w:t xml:space="preserve">ملاحظة صياغة</w:t>
      </w:r>
    </w:p>
    <w:p>
      <w:pPr>
        <w:bidi/>
      </w:pPr>
      <w:r>
        <w:rPr>
          <w:rtl/>
        </w:rPr>
        <w:t xml:space="preserve">في المملكة العربية السعودية تُعدّ حقوق كل طرف والتزاماته الأساسية من بيانات النموذج الموحد.</w:t>
      </w:r>
      <w:r>
        <w:rPr>
          <w:rtl/>
        </w:rPr>
        <w:t xml:space="preserve"> [1]</w:t>
      </w:r>
    </w:p>
  </w:comment>
  <w:comment w:id="8" w:initials="Q" w:author="Qanu" w:date="2026-10-17T00:00:00.000Z">
    <w:p>
      <w:pPr>
        <w:bidi/>
      </w:pPr>
      <w:r>
        <w:rPr>
          <w:b/>
          <w:bCs/>
          <w:rtl/>
        </w:rPr>
        <w:t xml:space="preserve">ملاحظة صياغة</w:t>
      </w:r>
    </w:p>
    <w:p>
      <w:pPr>
        <w:bidi/>
      </w:pPr>
      <w:r>
        <w:rPr>
          <w:rtl/>
        </w:rPr>
        <w:t xml:space="preserve">في المملكة العربية السعودية يجب أن يكون التعهد بالمحافظة على السرية بعد انتهاء العقد مكتوباً ومحدداً من حيث الزمان والمكان ونوع العمل، وألّا تزيد مدته على سنتين من تاريخ انتهاء العلاقة (المادة 83).</w:t>
      </w:r>
      <w:r>
        <w:rPr>
          <w:rtl/>
        </w:rPr>
        <w:t xml:space="preserve"> [1]</w:t>
      </w:r>
    </w:p>
  </w:comment>
  <w:comment w:id="9" w:initials="Q" w:author="Qanu" w:date="2026-10-17T00:00:00.000Z">
    <w:p>
      <w:pPr>
        <w:bidi/>
      </w:pPr>
      <w:r>
        <w:rPr>
          <w:b/>
          <w:bCs/>
          <w:rtl/>
        </w:rPr>
        <w:t xml:space="preserve">ملاحظة صياغة</w:t>
      </w:r>
    </w:p>
    <w:p>
      <w:pPr>
        <w:bidi/>
      </w:pPr>
      <w:r>
        <w:rPr>
          <w:rtl/>
        </w:rPr>
        <w:t xml:space="preserve">في المملكة العربية السعودية (المادة 83) والإمارات العربية المتحدة (المادة 10): يجب أن يكون </w:t>
      </w:r>
      <w:hyperlink w:history="1" r:id="rIdigwrkef8b2mq0ty3elc6b">
        <w:r>
          <w:rPr>
            <w:rStyle w:val="Hyperlink"/>
            <w:rtl/>
          </w:rPr>
          <w:t xml:space="preserve">شرط عدم المنافسة</w:t>
        </w:r>
      </w:hyperlink>
      <w:r>
        <w:rPr>
          <w:rtl/>
        </w:rPr>
        <w:t xml:space="preserve"> محدداً من حيث الزمان والمكان ونوع العمل، وألّا تزيد مدته على سنتين من تاريخ انتهاء العقد.</w:t>
      </w:r>
      <w:r>
        <w:rPr>
          <w:rtl/>
        </w:rPr>
        <w:t xml:space="preserve"> [1][4][11]</w:t>
      </w:r>
      <w:r>
        <w:rPr>
          <w:rtl/>
        </w:rPr>
        <w:t xml:space="preserve"> واجعل نطاقه ضيقاً قدر الإمكان.</w:t>
      </w:r>
    </w:p>
  </w:comment>
  <w:comment w:id="10" w:initials="Q" w:author="Qanu" w:date="2026-10-17T00:00:00.000Z">
    <w:p>
      <w:pPr>
        <w:bidi/>
      </w:pPr>
      <w:r>
        <w:rPr>
          <w:b/>
          <w:bCs/>
          <w:rtl/>
        </w:rPr>
        <w:t xml:space="preserve">ملاحظة صياغة</w:t>
      </w:r>
    </w:p>
    <w:p>
      <w:pPr>
        <w:bidi/>
      </w:pPr>
      <w:r>
        <w:rPr>
          <w:rtl/>
        </w:rPr>
        <w:t xml:space="preserve">• المملكة العربية السعودية، في العقد غير محدد المدة إذا كان الأجر شهرياً: إشعار كتابي لا تقل مدته عن ثلاثين يوماً إذا كان الإنهاء من العامل، وعن ستين يوماً إذا كان من صاحب العمل (المادة 75). وتُعدّ الاستقالة مقبولة إذا مضى ثلاثون يوماً على تقديمها دون رد (المادة 79 مكرر).</w:t>
      </w:r>
      <w:r>
        <w:rPr>
          <w:rtl/>
        </w:rPr>
        <w:t xml:space="preserve"> [1]</w:t>
      </w:r>
    </w:p>
    <w:p>
      <w:pPr>
        <w:bidi/>
      </w:pPr>
      <w:r>
        <w:rPr>
          <w:rtl/>
        </w:rPr>
        <w:t xml:space="preserve">• الإمارات العربية المتحدة: لا تقل مدة الإشعار المتفق عليها عن ثلاثين يوماً ولا تزيد على تسعين يوماً (المادة 43).</w:t>
      </w:r>
      <w:r>
        <w:rPr>
          <w:rtl/>
        </w:rPr>
        <w:t xml:space="preserve"> [4][12]</w:t>
      </w:r>
    </w:p>
  </w:comment>
  <w:comment w:id="11" w:initials="Q" w:author="Qanu" w:date="2026-10-17T00:00:00.000Z">
    <w:p>
      <w:pPr>
        <w:bidi/>
      </w:pPr>
      <w:r>
        <w:rPr>
          <w:b/>
          <w:bCs/>
          <w:rtl/>
        </w:rPr>
        <w:t xml:space="preserve">ملاحظة صياغة</w:t>
      </w:r>
    </w:p>
    <w:p>
      <w:pPr>
        <w:bidi/>
      </w:pPr>
      <w:r>
        <w:rPr>
          <w:rtl/>
        </w:rPr>
        <w:t xml:space="preserve">لا تُثبت معادلة الحساب في متن العقد؛ إذ يبيّن الملحقان (أ) و(ب) الأساس النظامي لها.</w:t>
      </w:r>
      <w:r>
        <w:rPr>
          <w:rtl/>
        </w:rPr>
        <w:t xml:space="preserve"> [1][4][13]</w:t>
      </w:r>
      <w:r>
        <w:rPr>
          <w:rtl/>
        </w:rPr>
        <w:t xml:space="preserve"> وانظر مصطلح </w:t>
      </w:r>
      <w:hyperlink w:history="1" r:id="rId0pti6zknbjcz_xcvuugiy">
        <w:r>
          <w:rPr>
            <w:rStyle w:val="Hyperlink"/>
            <w:rtl/>
          </w:rPr>
          <w:t xml:space="preserve">مكافأة نهاية الخدمة</w:t>
        </w:r>
      </w:hyperlink>
      <w:r>
        <w:rPr>
          <w:rtl/>
        </w:rPr>
        <w:t xml:space="preserve"> في المسرد القانوني.</w:t>
      </w:r>
    </w:p>
  </w:comment>
  <w:comment w:id="12" w:initials="Q" w:author="Qanu" w:date="2026-10-17T00:00:00.000Z">
    <w:p>
      <w:pPr>
        <w:bidi/>
      </w:pPr>
      <w:r>
        <w:rPr>
          <w:b/>
          <w:bCs/>
          <w:rtl/>
        </w:rPr>
        <w:t xml:space="preserve">ملاحظة صياغة</w:t>
      </w:r>
    </w:p>
    <w:p>
      <w:pPr>
        <w:bidi/>
      </w:pPr>
      <w:r>
        <w:rPr>
          <w:rtl/>
        </w:rPr>
        <w:t xml:space="preserve">المملكة العربية السعودية: نظام حماية البيانات الشخصية، والجهة المختصة الهيئة السعودية للبيانات والذكاء الاصطناعي (سدايا).</w:t>
      </w:r>
      <w:r>
        <w:rPr>
          <w:rtl/>
        </w:rPr>
        <w:t xml:space="preserve"> [17]</w:t>
      </w:r>
      <w:r>
        <w:rPr>
          <w:rtl/>
        </w:rPr>
        <w:t xml:space="preserve"> الإمارات العربية المتحدة: المرسوم بقانون اتحادي رقم (45) لسنة 2021 بشأن حماية البيانات الشخصية.</w:t>
      </w:r>
      <w:r>
        <w:rPr>
          <w:rtl/>
        </w:rPr>
        <w:t xml:space="preserve"> [18]</w:t>
      </w:r>
      <w:r>
        <w:rPr>
          <w:rtl/>
        </w:rPr>
        <w:t xml:space="preserve"> وانظر </w:t>
      </w:r>
      <w:hyperlink w:history="1" r:id="rIdnt_dg734aycipdery2shk">
        <w:r>
          <w:rPr>
            <w:rStyle w:val="Hyperlink"/>
            <w:rtl/>
          </w:rPr>
          <w:t xml:space="preserve">دليل حماية البيانات الشخصية في الخليج</w:t>
        </w:r>
      </w:hyperlink>
      <w:r>
        <w:rPr>
          <w:rtl/>
        </w:rPr>
        <w:t xml:space="preserve">.</w:t>
      </w:r>
    </w:p>
  </w:comment>
  <w:comment w:id="13" w:initials="Q" w:author="Qanu" w:date="2026-10-17T00:00:00.000Z">
    <w:p>
      <w:pPr>
        <w:bidi/>
      </w:pPr>
      <w:r>
        <w:rPr>
          <w:b/>
          <w:bCs/>
          <w:rtl/>
        </w:rPr>
        <w:t xml:space="preserve">ملاحظة صياغة</w:t>
      </w:r>
    </w:p>
    <w:p>
      <w:pPr>
        <w:bidi/>
      </w:pPr>
      <w:r>
        <w:rPr>
          <w:rtl/>
        </w:rPr>
        <w:t xml:space="preserve">قبل الاعتماد على هذا البند، تحقّق مما إذا كان نظام الدولة يوجب تقديم شكوى إلى الجهة العمالية المختصة قبل رفع الدعوى إلى المحكمة. ولا تَعِد بالتحكيم.</w:t>
      </w:r>
    </w:p>
  </w:comment>
  <w:comment w:id="14" w:initials="Q" w:author="Qanu" w:date="2026-10-17T00:00:00.000Z">
    <w:p>
      <w:pPr>
        <w:bidi/>
      </w:pPr>
      <w:r>
        <w:rPr>
          <w:b/>
          <w:bCs/>
          <w:rtl/>
        </w:rPr>
        <w:t xml:space="preserve">ملاحظة صياغة</w:t>
      </w:r>
    </w:p>
    <w:p>
      <w:pPr>
        <w:bidi/>
      </w:pPr>
      <w:r>
        <w:rPr>
          <w:rtl/>
        </w:rPr>
        <w:t xml:space="preserve">• في المملكة العربية السعودية يُعتمد النص العربي إذا استُخدمت لغة أجنبية إلى جانب العربية (المادة 9).</w:t>
      </w:r>
      <w:r>
        <w:rPr>
          <w:rtl/>
        </w:rPr>
        <w:t xml:space="preserve"> [1]</w:t>
      </w:r>
    </w:p>
    <w:p>
      <w:pPr>
        <w:bidi/>
      </w:pPr>
      <w:r>
        <w:rPr>
          <w:rtl/>
        </w:rPr>
        <w:t xml:space="preserve">• تشترط البحرين (المادة 19)</w:t>
      </w:r>
      <w:r>
        <w:rPr>
          <w:rtl/>
        </w:rPr>
        <w:t xml:space="preserve"> [8]</w:t>
      </w:r>
      <w:r>
        <w:rPr>
          <w:rtl/>
        </w:rPr>
        <w:t xml:space="preserve"> وعُمان</w:t>
      </w:r>
      <w:r>
        <w:rPr>
          <w:rtl/>
        </w:rPr>
        <w:t xml:space="preserve"> [9]</w:t>
      </w:r>
      <w:r>
        <w:rPr>
          <w:rtl/>
        </w:rPr>
        <w:t xml:space="preserve"> تحرير العقد باللغة العربية.</w:t>
      </w:r>
    </w:p>
    <w:p>
      <w:pPr>
        <w:bidi/>
      </w:pPr>
      <w:r>
        <w:rPr>
          <w:rtl/>
        </w:rPr>
        <w:t xml:space="preserve">• عدد النسخ: نسختان في المملكة العربية السعودية،</w:t>
      </w:r>
      <w:r>
        <w:rPr>
          <w:rtl/>
        </w:rPr>
        <w:t xml:space="preserve"> [1]</w:t>
      </w:r>
      <w:r>
        <w:rPr>
          <w:rtl/>
        </w:rPr>
        <w:t xml:space="preserve"> ونسختان في الإمارات،</w:t>
      </w:r>
      <w:r>
        <w:rPr>
          <w:rtl/>
        </w:rPr>
        <w:t xml:space="preserve"> [4]</w:t>
      </w:r>
      <w:r>
        <w:rPr>
          <w:rtl/>
        </w:rPr>
        <w:t xml:space="preserve"> وثلاث نسخ في قطر،</w:t>
      </w:r>
      <w:r>
        <w:rPr>
          <w:rtl/>
        </w:rPr>
        <w:t xml:space="preserve"> [7]</w:t>
      </w:r>
      <w:r>
        <w:rPr>
          <w:rtl/>
        </w:rPr>
        <w:t xml:space="preserve"> ونسختان في البحرين</w:t>
      </w:r>
      <w:r>
        <w:rPr>
          <w:rtl/>
        </w:rPr>
        <w:t xml:space="preserve"> [8]</w:t>
      </w:r>
      <w:r>
        <w:rPr>
          <w:rtl/>
        </w:rPr>
        <w:t xml:space="preserve"> ونسختان في عُمان.</w:t>
      </w:r>
      <w:r>
        <w:rPr>
          <w:rtl/>
        </w:rPr>
        <w:t xml:space="preserve"> [9]</w:t>
      </w:r>
    </w:p>
  </w:comment>
  <w:comment w:id="15" w:initials="Q" w:author="Qanu" w:date="2026-10-17T00:00:00.000Z">
    <w:p>
      <w:pPr>
        <w:bidi/>
      </w:pPr>
      <w:r>
        <w:rPr>
          <w:b/>
          <w:bCs/>
          <w:rtl/>
        </w:rPr>
        <w:t xml:space="preserve">ملاحظة صياغة</w:t>
      </w:r>
    </w:p>
    <w:p>
      <w:pPr>
        <w:bidi/>
      </w:pPr>
      <w:r>
        <w:rPr>
          <w:rtl/>
        </w:rPr>
        <w:t xml:space="preserve">منصة قوى في المملكة العربية السعودية،</w:t>
      </w:r>
      <w:r>
        <w:rPr>
          <w:rtl/>
        </w:rPr>
        <w:t xml:space="preserve"> [2][3]</w:t>
      </w:r>
      <w:r>
        <w:rPr>
          <w:rtl/>
        </w:rPr>
        <w:t xml:space="preserve"> ووزارة الموارد البشرية والتوطين في الإمارات.</w:t>
      </w:r>
      <w:r>
        <w:rPr>
          <w:rtl/>
        </w:rPr>
        <w:t xml:space="preserve"> [5][6]</w:t>
      </w:r>
      <w:r>
        <w:rPr>
          <w:rtl/>
        </w:rPr>
        <w:t xml:space="preserve"> ويجوز للطرفين في المملكة إضافة بنود لا تتعارض مع النظام ولائحته والقرارات الصادرة تنفيذاً له.</w:t>
      </w:r>
      <w:r>
        <w:rPr>
          <w:rtl/>
        </w:rPr>
        <w:t xml:space="preserve"> [1]</w:t>
      </w:r>
      <w:r>
        <w:rPr>
          <w:rtl/>
        </w:rPr>
        <w:t xml:space="preserve"> ولم نتحقق مما إذا كانت منصة قوى أو وزارة الموارد البشرية والتوطين تقبل إضافة بنود نصية حرة؛ فتحقّق من ذلك في المنصة قبل الاعتماد عليها.</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66D9AE7C-5088-BB53-E981-84F7A20B4D00}"/>
    <w:embedBold r:id="rId2" w:fontKey="{CFF6CAE7-7762-8A4B-D73D-F41AF98F3A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‪https://www.qanu.ai/ar/نماذج/نموذج-عقد-عمل‬</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‪https://www.qanu.ai/ar/نماذج/نموذج-عقد-عمل‬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fmolrgbvok6r7_kf4to2h" Type="http://schemas.openxmlformats.org/officeDocument/2006/relationships/hyperlink" Target="https://www.qanu.ai/ar/%D9%85%D8%B3%D8%B1%D8%AF-%D9%82%D8%A7%D9%86%D9%88%D9%86%D9%8A/%D8%B3%D8%AC%D9%84-%D8%AA%D8%AC%D8%A7%D8%B1%D9%8A" TargetMode="External"/><Relationship Id="rIdgubyuioo0tvesrm0kxhrz" Type="http://schemas.openxmlformats.org/officeDocument/2006/relationships/hyperlink" Target="https://www.qanu.ai/ar/%D9%85%D8%B3%D8%B1%D8%AF-%D9%82%D8%A7%D9%86%D9%88%D9%86%D9%8A/%D9%81%D8%AA%D8%B1%D8%A9-%D8%A7%D9%84%D8%AA%D8%AC%D8%B1%D8%A8%D8%A9" TargetMode="External"/><Relationship Id="rIdigwrkef8b2mq0ty3elc6b" Type="http://schemas.openxmlformats.org/officeDocument/2006/relationships/hyperlink" Target="https://www.qanu.ai/ar/%D9%85%D8%B3%D8%B1%D8%AF-%D9%82%D8%A7%D9%86%D9%88%D9%86%D9%8A/%D8%B4%D8%B1%D8%B7-%D8%B9%D8%AF%D9%85-%D8%A7%D9%84%D9%85%D9%86%D8%A7%D9%81%D8%B3%D8%A9" TargetMode="External"/><Relationship Id="rId0pti6zknbjcz_xcvuugiy" Type="http://schemas.openxmlformats.org/officeDocument/2006/relationships/hyperlink" Target="https://www.qanu.ai/ar/%D9%85%D8%B3%D8%B1%D8%AF-%D9%82%D8%A7%D9%86%D9%88%D9%86%D9%8A/%D9%85%D9%83%D8%A7%D9%81%D8%A3%D8%A9-%D9%86%D9%87%D8%A7%D9%8A%D8%A9-%D8%A7%D9%84%D8%AE%D8%AF%D9%85%D8%A9" TargetMode="External"/><Relationship Id="rIdnt_dg734aycipdery2shk" Type="http://schemas.openxmlformats.org/officeDocument/2006/relationships/hyperlink" Target="https://www.qanu.ai/ar/%D8%A3%D8%AF%D9%84%D8%A9/%D8%AD%D9%85%D8%A7%D9%8A%D8%A9-%D8%A7%D9%84%D8%A8%D9%8A%D8%A7%D9%86%D8%A7%D8%AA-%D8%A7%D9%84%D8%B4%D8%AE%D8%B5%D9%8A%D8%A9-%D8%A7%D9%84%D8%AE%D9%84%D9%8A%D8%AC"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jip_vrtdkq1--dzrz35dz" Type="http://schemas.openxmlformats.org/officeDocument/2006/relationships/hyperlink" Target="https://qiwa.sa/ar/service-overview/business-owners/manage-current-employees/contract-management" TargetMode="External"/><Relationship Id="rIdm-iawjhdj-cgmtzf9pgmt" Type="http://schemas.openxmlformats.org/officeDocument/2006/relationships/hyperlink" Target="https://www.mohre.gov.ae/en/services/issuancerenewal-of-employment-contracts-2022" TargetMode="External"/><Relationship Id="rIdtcv3c-hor_1mcoiwj-dx4" Type="http://schemas.openxmlformats.org/officeDocument/2006/relationships/hyperlink" Target="https://creativecommons.org/licenses/by/4.0/deed.ar" TargetMode="External"/><Relationship Id="rId955gb6zthyaxuf2qtvuop" Type="http://schemas.openxmlformats.org/officeDocument/2006/relationships/hyperlink" Target="https://www.hrsd.gov.sa/sites/default/files/2025-11/labor-law.pdf" TargetMode="External"/><Relationship Id="rId9jcthqmyrn-js97evgfix" Type="http://schemas.openxmlformats.org/officeDocument/2006/relationships/hyperlink" Target="https://www.hrsd.gov.sa/media-center/news/1171584" TargetMode="External"/><Relationship Id="rIdzvrgulqpx3abqjubvj31z" Type="http://schemas.openxmlformats.org/officeDocument/2006/relationships/hyperlink" Target="https://qiwa.sa/ar/service-overview/business-owners/manage-current-employees/contract-management" TargetMode="External"/><Relationship Id="rIdte-ugm1fscdu_fvddvf46"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y_hgxbohg8p3eq4k9bvhi" Type="http://schemas.openxmlformats.org/officeDocument/2006/relationships/hyperlink" Target="https://www.mohre.gov.ae/en/services/issuancerenewal-of-employment-contracts-2022" TargetMode="External"/><Relationship Id="rId9tlgmzmjc8gx0nlqsagnf" Type="http://schemas.openxmlformats.org/officeDocument/2006/relationships/hyperlink" Target="https://u.ae/en/information-and-services/jobs/Sector-of-employment/employment-in-the-private-sector/expatriates-employment-in-private-sector" TargetMode="External"/><Relationship Id="rIdtmqbb-531bc7m-tp_2xuc" Type="http://schemas.openxmlformats.org/officeDocument/2006/relationships/hyperlink" Target="https://www.almeezan.qa/LawArticles.aspx?LawTreeSectionID=12642&amp;language=ar&amp;lawId=3961" TargetMode="External"/><Relationship Id="rId3wptjebzo7_npu2_2wivi" Type="http://schemas.openxmlformats.org/officeDocument/2006/relationships/hyperlink" Target="https://www.lmra.gov.bh/files/cms/downloads/english_attachment/labour_law.pdf" TargetMode="External"/><Relationship Id="rIdkgoqydg3k0hvsu753kuss" Type="http://schemas.openxmlformats.org/officeDocument/2006/relationships/hyperlink" Target="https://www.mol.gov.om/pages/Employee-Rights-And-Duties" TargetMode="External"/><Relationship Id="rIddmcxr1ig_igfxcxah1cup" Type="http://schemas.openxmlformats.org/officeDocument/2006/relationships/hyperlink" Target="https://www.hrsd.gov.sa/sites/default/files/2024-08/%D9%85%D9%84%D8%AE%D8%B5%20%D8%A7%D9%84%D8%AA%D8%B9%D8%AF%D9%8A%D9%84%D8%A7%D8%AA%20%D8%A7%D9%84%D8%AA%D9%8A%20%D8%AA%D9%85%D8%AA%20%D8%B9%D9%84%D9%89%20%D9%86%D8%B8%D8%A7%D9%85%20%D8%A7%D9%84%D8%B9%D9%85%D9%84.pdf" TargetMode="External"/><Relationship Id="rId02-tcitzmknkz34-zyla6" Type="http://schemas.openxmlformats.org/officeDocument/2006/relationships/hyperlink" Target="https://u.ae/en/information-and-services/jobs/Sector-of-employment/employment-in-the-private-sector/employment-contracts-duration-and-models-in-the-private-sector" TargetMode="External"/><Relationship Id="rIdr_umcipnkeqdoiclngyq6" Type="http://schemas.openxmlformats.org/officeDocument/2006/relationships/hyperlink" Target="https://u.ae/en/information-and-services/jobs/Sector-of-employment/employment-in-the-private-sector/terminating-employment-contracts" TargetMode="External"/><Relationship Id="rIdiq8ylftgq7vevbuy4r4qz" Type="http://schemas.openxmlformats.org/officeDocument/2006/relationships/hyperlink" Target="https://u.ae/en/information-and-services/jobs/Sector-of-employment/employment-in-the-private-sector/end-of-service-benefits-for-employees-in-the-private-sector" TargetMode="External"/><Relationship Id="rIdo-oyjobefq_bj3ivfip72" Type="http://schemas.openxmlformats.org/officeDocument/2006/relationships/hyperlink" Target="https://u.ae/en/information-and-services/jobs/Sector-of-employment/employment-in-the-private-sector/employment-laws-and-regulations-in-the-private-sector" TargetMode="External"/><Relationship Id="rIdglj8ee-hdansqq9mfoalq" Type="http://schemas.openxmlformats.org/officeDocument/2006/relationships/hyperlink" Target="https://www.adgm.com/operating-in-adgm/employment-affairs-office" TargetMode="External"/><Relationship Id="rIddbu2_gv0zfjdywb0yczbv" Type="http://schemas.openxmlformats.org/officeDocument/2006/relationships/hyperlink" Target="https://www.difc.com/business/laws-and-regulations/legal-database/difc-laws/employment-law-difc-law-no-2-of-2019" TargetMode="External"/><Relationship Id="rId1z_idqgot3a-_i_le-g1o" Type="http://schemas.openxmlformats.org/officeDocument/2006/relationships/hyperlink" Target="https://dgp.sdaia.gov.sa/wps/portal/pdp/home" TargetMode="External"/><Relationship Id="rIdoiag5s-bqszzhloikel7n" Type="http://schemas.openxmlformats.org/officeDocument/2006/relationships/hyperlink" Target="https://u.ae/en/about-the-uae/digital-uae/data/data-protection-laws" TargetMode="External"/><Relationship Id="rIdgsstxdlt-l67zwqzi3w-c" Type="http://schemas.openxmlformats.org/officeDocument/2006/relationships/hyperlink" Target="https://www.moj.gov.kw/AR/Documents/MojDocs/%D9%82%D8%A7%D9%86%D9%88%D9%86%20%D8%B1%D9%82%D9%85%206%20%D9%84%D8%B3%D9%86%D8%A9%202010%20%D8%A8%D8%A5%D8%B5%D8%AF%D8%A7%D8%B1%20%D9%82%D8%A7%D9%86%D9%88%D9%86%20%D8%A7%D9%84%D8%B9%D9%85%D9%84%20%D9%81%D9%8A%20%D8%A7%D9%84%D9%82%D8%B7%D8%A7%D8%B9%20%D8%A7%D9%84%D8%A7%D9%87%D9%84%D9%8A.pdf"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عمل باللغتين العربية والإنجليزية</dc:title>
  <dc:creator>Qanu</dc:creator>
  <cp:keywords>عقد العمل, نظام العمل,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2026-10-17T15:50:45.213Z</dcterms:created>
  <dcterms:modified xsi:type="dcterms:W3CDTF">2026-10-17T15:50:45.213Z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https://www.qanu.ai/ar/نماذج/نموذج-عقد-عمل</vt:lpwstr>
  </property>
</Properties>
</file>