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في السعودية تُوقَّع مخالصة العامل بعد انتهاء العلاقة، لا في أثنائها.</w:t>
      </w:r>
      <w:r>
        <w:rPr>
          <w:rtl/>
        </w:rPr>
        <w:t xml:space="preserve"> يبطل كل إبراء أو مصالحة عن حقوق العامل أثناء سريان العقد ما لم يكن أكثر فائدة له.</w:t>
      </w:r>
      <w:r>
        <w:rPr>
          <w:rtl/>
        </w:rPr>
        <w:t xml:space="preserve"> [1]</w:t>
      </w:r>
      <w:r>
        <w:rPr>
          <w:rtl/>
        </w:rPr>
        <w:t xml:space="preserve"> فتُستعمل هذه المخالصة بعد انتهاء العلاقة، لا بدلاً من </w:t>
      </w:r>
      <w:hyperlink w:history="1" r:id="rIdzqd_-iifn3yybscrflxqx">
        <w:r>
          <w:rPr>
            <w:rStyle w:val="Hyperlink"/>
            <w:rtl/>
          </w:rPr>
          <w:t xml:space="preserve">عقد العمل</w:t>
        </w:r>
      </w:hyperlink>
      <w:r>
        <w:rPr>
          <w:rtl/>
        </w:rPr>
        <w:t xml:space="preserve"> ولا بدلاً من </w:t>
      </w:r>
      <w:hyperlink w:history="1" r:id="rIdkz95tvigbtjruzi_fo58h">
        <w:r>
          <w:rPr>
            <w:rStyle w:val="Hyperlink"/>
            <w:rtl/>
          </w:rPr>
          <w:t xml:space="preserve">خطاب الاستقالة</w:t>
        </w:r>
      </w:hyperlink>
      <w:r>
        <w:rPr>
          <w:rtl/>
        </w:rPr>
        <w:t xml:space="preserve">. وتسوية نزاع تجاري أو مدني من غير علاقة عمل تكون بـ</w:t>
      </w:r>
      <w:hyperlink w:history="1" r:id="rIdu3w6iqs1vxuevasl-uckq">
        <w:r>
          <w:rPr>
            <w:rStyle w:val="Hyperlink"/>
            <w:rtl/>
          </w:rPr>
          <w:t xml:space="preserve">عقد الصلح</w:t>
        </w:r>
      </w:hyperlink>
      <w:r>
        <w:rPr>
          <w:rtl/>
        </w:rPr>
        <w:t xml:space="preserve">. ولم تُراجع مهلة سداد المستحقات في قانون العمل الإماراتي، فلا توردها هذه الصفحة.</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العمل: </w:t>
      </w:r>
      <w:hyperlink w:history="1" r:id="rIdncg6x_vxmhqlgcxviwhuh">
        <w:r>
          <w:rPr>
            <w:rStyle w:val="Hyperlink"/>
            <w:sz w:val="17"/>
            <w:szCs w:val="17"/>
          </w:rPr>
          <w:t xml:space="preserve">‪https://laws.boe.gov.sa/BoeLaws/Laws/LawDetails/08381293-6388-48e2-8ad2-a9a700f2aa94/1‬</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قانون العمل الإماراتي: </w:t>
      </w:r>
      <w:hyperlink w:history="1" r:id="rIdzbvhsyk_zxbfbxwdnuufk">
        <w:r>
          <w:rPr>
            <w:rStyle w:val="Hyperlink"/>
            <w:sz w:val="17"/>
            <w:szCs w:val="17"/>
          </w:rPr>
          <w:t xml:space="preserve">‪https://uaelegislation.gov.ae/ar/legislations/1541‬</w:t>
        </w:r>
      </w:hyperlink>
    </w:p>
    <w:p>
      <w:pPr>
        <w:bidi/>
        <w:spacing w:after="240"/>
      </w:pPr>
    </w:p>
    <w:p>
      <w:pPr>
        <w:pStyle w:val="Title"/>
        <w:bidi/>
      </w:pPr>
      <w:r>
        <w:rPr>
          <w:rtl/>
        </w:rPr>
        <w:t xml:space="preserve">مخالصة نهائية وإبراء ذمة</w:t>
      </w:r>
    </w:p>
    <w:p>
      <w:pPr>
        <w:bidi/>
        <w:spacing w:after="240"/>
      </w:pPr>
      <w:r>
        <w:rPr>
          <w:color w:val="444444"/>
          <w:rtl/>
        </w:rPr>
        <w:t xml:space="preserve">مخالصة بين عامل وصاحب عمل بعد انتهاء العلاقة، أو بين شركتين أو مع مقاول إذا أُبقي البند (11). لا تُوقَّع مخالصة العامل في السعودية أثناء سريان العقد.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 هذه نقطة انطلاق، وتُراجع من محامٍ مرخّص في الدولة المعنية قبل الاستعمال.</w:t>
      </w:r>
    </w:p>
    <w:p>
      <w:pPr>
        <w:pStyle w:val="Heading1"/>
        <w:bidi/>
      </w:pPr>
      <w:r>
        <w:rPr>
          <w:rtl/>
        </w:rPr>
        <w:t xml:space="preserve">البند (1): الطرفان</w:t>
      </w:r>
    </w:p>
    <w:p>
      <w:pPr>
        <w:bidi/>
      </w:pPr>
      <w:r>
        <w:rPr>
          <w:rtl/>
        </w:rPr>
        <w:t xml:space="preserve">حُررت هذه المخالصة في </w:t>
      </w:r>
      <w:r>
        <w:rPr>
          <w:highlight w:val="yellow"/>
          <w:rtl/>
        </w:rPr>
        <w:t xml:space="preserve">[</w:t>
      </w:r>
      <w:r>
        <w:rPr>
          <w:highlight w:val="yellow"/>
          <w:rtl/>
        </w:rPr>
        <w:t xml:space="preserve">التاريخ</w:t>
      </w:r>
      <w:r>
        <w:rPr>
          <w:highlight w:val="yellow"/>
          <w:rtl/>
        </w:rPr>
        <w:t xml:space="preserve">]</w:t>
      </w:r>
      <w:r>
        <w:rPr>
          <w:rtl/>
        </w:rPr>
        <w:t xml:space="preserve"> بين </w:t>
      </w:r>
      <w:r>
        <w:rPr>
          <w:highlight w:val="yellow"/>
          <w:rtl/>
        </w:rPr>
        <w:t xml:space="preserve">[</w:t>
      </w:r>
      <w:r>
        <w:rPr>
          <w:highlight w:val="yellow"/>
          <w:rtl/>
        </w:rPr>
        <w:t xml:space="preserve">صاحب العمل</w:t>
      </w:r>
      <w:r>
        <w:rPr>
          <w:highlight w:val="yellow"/>
          <w:rtl/>
        </w:rPr>
        <w:t xml:space="preserve">]</w:t>
      </w:r>
      <w:r>
        <w:rPr>
          <w:rtl/>
        </w:rPr>
        <w:t xml:space="preserve">، سجل تجاري </w:t>
      </w:r>
      <w:r>
        <w:rPr>
          <w:highlight w:val="yellow"/>
          <w:rtl/>
        </w:rPr>
        <w:t xml:space="preserve">[</w:t>
      </w:r>
      <w:r>
        <w:rPr>
          <w:highlight w:val="yellow"/>
          <w:rtl/>
        </w:rPr>
        <w:t xml:space="preserve">●</w:t>
      </w:r>
      <w:r>
        <w:rPr>
          <w:highlight w:val="yellow"/>
          <w:rtl/>
        </w:rPr>
        <w:t xml:space="preserve">]</w:t>
      </w:r>
      <w:r>
        <w:rPr>
          <w:rtl/>
        </w:rPr>
        <w:t xml:space="preserve">، وعنوانه </w:t>
      </w:r>
      <w:r>
        <w:rPr>
          <w:highlight w:val="yellow"/>
          <w:rtl/>
        </w:rPr>
        <w:t xml:space="preserve">[</w:t>
      </w:r>
      <w:r>
        <w:rPr>
          <w:highlight w:val="yellow"/>
          <w:rtl/>
        </w:rPr>
        <w:t xml:space="preserve">●</w:t>
      </w:r>
      <w:r>
        <w:rPr>
          <w:highlight w:val="yellow"/>
          <w:rtl/>
        </w:rPr>
        <w:t xml:space="preserve">]</w:t>
      </w:r>
      <w:r>
        <w:rPr>
          <w:rtl/>
        </w:rPr>
        <w:t xml:space="preserve"> («صاحب العمل») و</w:t>
      </w:r>
      <w:r>
        <w:rPr>
          <w:highlight w:val="yellow"/>
          <w:rtl/>
        </w:rPr>
        <w:t xml:space="preserve">[</w:t>
      </w:r>
      <w:r>
        <w:rPr>
          <w:highlight w:val="yellow"/>
          <w:rtl/>
        </w:rPr>
        <w:t xml:space="preserve">العامل</w:t>
      </w:r>
      <w:r>
        <w:rPr>
          <w:highlight w:val="yellow"/>
          <w:rtl/>
        </w:rPr>
        <w:t xml:space="preserve">]</w:t>
      </w:r>
      <w:r>
        <w:rPr>
          <w:rtl/>
        </w:rPr>
        <w:t xml:space="preserve">، هوية/إقامة </w:t>
      </w:r>
      <w:r>
        <w:rPr>
          <w:highlight w:val="yellow"/>
          <w:rtl/>
        </w:rPr>
        <w:t xml:space="preserve">[</w:t>
      </w:r>
      <w:r>
        <w:rPr>
          <w:highlight w:val="yellow"/>
          <w:rtl/>
        </w:rPr>
        <w:t xml:space="preserve">●</w:t>
      </w:r>
      <w:r>
        <w:rPr>
          <w:highlight w:val="yellow"/>
          <w:rtl/>
        </w:rPr>
        <w:t xml:space="preserve">]</w:t>
      </w:r>
      <w:r>
        <w:rPr>
          <w:rtl/>
        </w:rPr>
        <w:t xml:space="preserve">، وعنوانه </w:t>
      </w:r>
      <w:r>
        <w:rPr>
          <w:highlight w:val="yellow"/>
          <w:rtl/>
        </w:rPr>
        <w:t xml:space="preserve">[</w:t>
      </w:r>
      <w:r>
        <w:rPr>
          <w:highlight w:val="yellow"/>
          <w:rtl/>
        </w:rPr>
        <w:t xml:space="preserve">●</w:t>
      </w:r>
      <w:r>
        <w:rPr>
          <w:highlight w:val="yellow"/>
          <w:rtl/>
        </w:rPr>
        <w:t xml:space="preserve">]</w:t>
      </w:r>
      <w:r>
        <w:rPr>
          <w:rtl/>
        </w:rPr>
        <w:t xml:space="preserve"> («العامل»).</w:t>
      </w:r>
    </w:p>
    <w:p>
      <w:pPr>
        <w:pStyle w:val="Heading1"/>
        <w:bidi/>
      </w:pPr>
      <w:commentRangeStart w:id="0"/>
      <w:r>
        <w:rPr>
          <w:rtl/>
        </w:rPr>
        <w:t xml:space="preserve">البند (2): العلاقة وسبب انتهائها</w:t>
      </w:r>
      <w:commentRangeEnd w:id="0"/>
      <w:r>
        <w:rPr>
          <w:rtl/>
        </w:rPr>
        <w:commentReference w:id="0"/>
      </w:r>
    </w:p>
    <w:p>
      <w:pPr>
        <w:bidi/>
      </w:pPr>
      <w:r>
        <w:rPr>
          <w:rtl/>
        </w:rPr>
        <w:t xml:space="preserve">بدأت العلاقة في </w:t>
      </w:r>
      <w:r>
        <w:rPr>
          <w:highlight w:val="yellow"/>
          <w:rtl/>
        </w:rPr>
        <w:t xml:space="preserve">[</w:t>
      </w:r>
      <w:r>
        <w:rPr>
          <w:highlight w:val="yellow"/>
          <w:rtl/>
        </w:rPr>
        <w:t xml:space="preserve">التاريخ</w:t>
      </w:r>
      <w:r>
        <w:rPr>
          <w:highlight w:val="yellow"/>
          <w:rtl/>
        </w:rPr>
        <w:t xml:space="preserve">]</w:t>
      </w:r>
      <w:r>
        <w:rPr>
          <w:rtl/>
        </w:rPr>
        <w:t xml:space="preserve"> وانتهت في </w:t>
      </w:r>
      <w:r>
        <w:rPr>
          <w:highlight w:val="yellow"/>
          <w:rtl/>
        </w:rPr>
        <w:t xml:space="preserve">[</w:t>
      </w:r>
      <w:r>
        <w:rPr>
          <w:highlight w:val="yellow"/>
          <w:rtl/>
        </w:rPr>
        <w:t xml:space="preserve">التاريخ</w:t>
      </w:r>
      <w:r>
        <w:rPr>
          <w:highlight w:val="yellow"/>
          <w:rtl/>
        </w:rPr>
        <w:t xml:space="preserve">]</w:t>
      </w:r>
      <w:r>
        <w:rPr>
          <w:rtl/>
        </w:rPr>
        <w:t xml:space="preserve"> بسبب </w:t>
      </w:r>
      <w:r>
        <w:rPr>
          <w:highlight w:val="yellow"/>
          <w:rtl/>
        </w:rPr>
        <w:t xml:space="preserve">[</w:t>
      </w:r>
      <w:r>
        <w:rPr>
          <w:highlight w:val="yellow"/>
          <w:rtl/>
        </w:rPr>
        <w:t xml:space="preserve">انتهاء المدة / استقالة / إنهاء من صاحب العمل / اتفاق</w:t>
      </w:r>
      <w:r>
        <w:rPr>
          <w:highlight w:val="yellow"/>
          <w:rtl/>
        </w:rPr>
        <w:t xml:space="preserve">]</w:t>
      </w:r>
      <w:r>
        <w:rPr>
          <w:rtl/>
        </w:rPr>
        <w:t xml:space="preserve">.</w:t>
      </w:r>
    </w:p>
    <w:p>
      <w:pPr>
        <w:pStyle w:val="Heading1"/>
        <w:bidi/>
      </w:pPr>
      <w:commentRangeStart w:id="1"/>
      <w:r>
        <w:rPr>
          <w:rtl/>
        </w:rPr>
        <w:t xml:space="preserve">البند (3): المستحقات</w:t>
      </w:r>
      <w:commentRangeEnd w:id="1"/>
      <w:r>
        <w:rPr>
          <w:rtl/>
        </w:rPr>
        <w:commentReference w:id="1"/>
      </w:r>
    </w:p>
    <w:p>
      <w:pPr>
        <w:bidi/>
      </w:pPr>
      <w:r>
        <w:rPr>
          <w:rtl/>
        </w:rPr>
        <w:t xml:space="preserve">استلم العامل المبالغ المبينة في الملحق (1): الأجر حتى آخر يوم، وبدل الإجازات، ومكافأة نهاية الخدمة، والبدلات والعمولات، وتذكرة العودة إن وُجدت.</w:t>
      </w:r>
    </w:p>
    <w:p>
      <w:pPr>
        <w:pStyle w:val="Heading1"/>
        <w:bidi/>
      </w:pPr>
      <w:commentRangeStart w:id="2"/>
      <w:r>
        <w:rPr>
          <w:rtl/>
        </w:rPr>
        <w:t xml:space="preserve">البند (4): الخصومات</w:t>
      </w:r>
      <w:commentRangeEnd w:id="2"/>
      <w:r>
        <w:rPr>
          <w:rtl/>
        </w:rPr>
        <w:commentReference w:id="2"/>
      </w:r>
    </w:p>
    <w:p>
      <w:pPr>
        <w:bidi/>
      </w:pPr>
      <w:r>
        <w:rPr>
          <w:rtl/>
        </w:rPr>
        <w:t xml:space="preserve">يُخصم </w:t>
      </w:r>
      <w:r>
        <w:rPr>
          <w:highlight w:val="yellow"/>
          <w:rtl/>
        </w:rPr>
        <w:t xml:space="preserve">[</w:t>
      </w:r>
      <w:r>
        <w:rPr>
          <w:highlight w:val="yellow"/>
          <w:rtl/>
        </w:rPr>
        <w:t xml:space="preserve">المبلغ</w:t>
      </w:r>
      <w:r>
        <w:rPr>
          <w:highlight w:val="yellow"/>
          <w:rtl/>
        </w:rPr>
        <w:t xml:space="preserve">]</w:t>
      </w:r>
      <w:r>
        <w:rPr>
          <w:rtl/>
        </w:rPr>
        <w:t xml:space="preserve"> عن </w:t>
      </w:r>
      <w:r>
        <w:rPr>
          <w:highlight w:val="yellow"/>
          <w:rtl/>
        </w:rPr>
        <w:t xml:space="preserve">[</w:t>
      </w:r>
      <w:r>
        <w:rPr>
          <w:highlight w:val="yellow"/>
          <w:rtl/>
        </w:rPr>
        <w:t xml:space="preserve">دين نشأ بسبب العمل</w:t>
      </w:r>
      <w:r>
        <w:rPr>
          <w:highlight w:val="yellow"/>
          <w:rtl/>
        </w:rPr>
        <w:t xml:space="preserve">]</w:t>
      </w:r>
      <w:r>
        <w:rPr>
          <w:rtl/>
        </w:rPr>
        <w:t xml:space="preserve">، وسنده </w:t>
      </w:r>
      <w:r>
        <w:rPr>
          <w:highlight w:val="yellow"/>
          <w:rtl/>
        </w:rPr>
        <w:t xml:space="preserve">[</w:t>
      </w:r>
      <w:r>
        <w:rPr>
          <w:highlight w:val="yellow"/>
          <w:rtl/>
        </w:rPr>
        <w:t xml:space="preserve">●</w:t>
      </w:r>
      <w:r>
        <w:rPr>
          <w:highlight w:val="yellow"/>
          <w:rtl/>
        </w:rPr>
        <w:t xml:space="preserve">]</w:t>
      </w:r>
      <w:r>
        <w:rPr>
          <w:rtl/>
        </w:rPr>
        <w:t xml:space="preserve">. وما لا سند له لا يُخصم.</w:t>
      </w:r>
    </w:p>
    <w:p>
      <w:pPr>
        <w:pStyle w:val="Heading1"/>
        <w:bidi/>
      </w:pPr>
      <w:r>
        <w:rPr>
          <w:rtl/>
        </w:rPr>
        <w:t xml:space="preserve">البند (5): الاستلام وطريقة الدفع</w:t>
      </w:r>
    </w:p>
    <w:p>
      <w:pPr>
        <w:bidi/>
      </w:pPr>
      <w:r>
        <w:rPr>
          <w:rtl/>
        </w:rPr>
        <w:t xml:space="preserve">يقرّ العامل باستلام الصافي وقدره </w:t>
      </w:r>
      <w:r>
        <w:rPr>
          <w:highlight w:val="yellow"/>
          <w:rtl/>
        </w:rPr>
        <w:t xml:space="preserve">[</w:t>
      </w:r>
      <w:r>
        <w:rPr>
          <w:highlight w:val="yellow"/>
          <w:rtl/>
        </w:rPr>
        <w:t xml:space="preserve">●</w:t>
      </w:r>
      <w:r>
        <w:rPr>
          <w:highlight w:val="yellow"/>
          <w:rtl/>
        </w:rPr>
        <w:t xml:space="preserve">]</w:t>
      </w:r>
      <w:r>
        <w:rPr>
          <w:rtl/>
        </w:rPr>
        <w:t xml:space="preserve"> عن طريق </w:t>
      </w:r>
      <w:r>
        <w:rPr>
          <w:highlight w:val="yellow"/>
          <w:rtl/>
        </w:rPr>
        <w:t xml:space="preserve">[</w:t>
      </w:r>
      <w:r>
        <w:rPr>
          <w:highlight w:val="yellow"/>
          <w:rtl/>
        </w:rPr>
        <w:t xml:space="preserve">تحويل إلى الحساب ● / نظام حماية الأجور</w:t>
      </w:r>
      <w:r>
        <w:rPr>
          <w:highlight w:val="yellow"/>
          <w:rtl/>
        </w:rPr>
        <w:t xml:space="preserve">]</w:t>
      </w:r>
      <w:r>
        <w:rPr>
          <w:rtl/>
        </w:rPr>
        <w:t xml:space="preserve"> في </w:t>
      </w:r>
      <w:r>
        <w:rPr>
          <w:highlight w:val="yellow"/>
          <w:rtl/>
        </w:rPr>
        <w:t xml:space="preserve">[</w:t>
      </w:r>
      <w:r>
        <w:rPr>
          <w:highlight w:val="yellow"/>
          <w:rtl/>
        </w:rPr>
        <w:t xml:space="preserve">التاريخ</w:t>
      </w:r>
      <w:r>
        <w:rPr>
          <w:highlight w:val="yellow"/>
          <w:rtl/>
        </w:rPr>
        <w:t xml:space="preserve">]</w:t>
      </w:r>
      <w:r>
        <w:rPr>
          <w:rtl/>
        </w:rPr>
        <w:t xml:space="preserve">.</w:t>
      </w:r>
    </w:p>
    <w:p>
      <w:pPr>
        <w:pStyle w:val="Heading1"/>
        <w:bidi/>
      </w:pPr>
      <w:commentRangeStart w:id="3"/>
      <w:r>
        <w:rPr>
          <w:rtl/>
        </w:rPr>
        <w:t xml:space="preserve">البند (6): الإبراء</w:t>
      </w:r>
      <w:commentRangeEnd w:id="3"/>
      <w:r>
        <w:rPr>
          <w:rtl/>
        </w:rPr>
        <w:commentReference w:id="3"/>
      </w:r>
    </w:p>
    <w:p>
      <w:pPr>
        <w:bidi/>
      </w:pPr>
      <w:r>
        <w:rPr>
          <w:rtl/>
        </w:rPr>
        <w:t xml:space="preserve">يبرئ العامل ذمة صاحب العمل من المطالبات الناشئة عن هذه العلاقة حتى تاريخ الانتهاء، بعد استلام المبالغ في الملحق (1). ولا يشمل الإبراء حقاً لا يجوز التنازل عنه.</w:t>
      </w:r>
    </w:p>
    <w:p>
      <w:pPr>
        <w:pStyle w:val="Heading1"/>
        <w:bidi/>
      </w:pPr>
      <w:commentRangeStart w:id="4"/>
      <w:r>
        <w:rPr>
          <w:rtl/>
        </w:rPr>
        <w:t xml:space="preserve">البند (7): العهد وشهادة الخدمة</w:t>
      </w:r>
      <w:commentRangeEnd w:id="4"/>
      <w:r>
        <w:rPr>
          <w:rtl/>
        </w:rPr>
        <w:commentReference w:id="4"/>
      </w:r>
    </w:p>
    <w:p>
      <w:pPr>
        <w:bidi/>
      </w:pPr>
      <w:r>
        <w:rPr>
          <w:rtl/>
        </w:rPr>
        <w:t xml:space="preserve">سلّم العامل العهد الآتية: </w:t>
      </w:r>
      <w:r>
        <w:rPr>
          <w:highlight w:val="yellow"/>
          <w:rtl/>
        </w:rPr>
        <w:t xml:space="preserve">[</w:t>
      </w:r>
      <w:r>
        <w:rPr>
          <w:highlight w:val="yellow"/>
          <w:rtl/>
        </w:rPr>
        <w:t xml:space="preserve">●</w:t>
      </w:r>
      <w:r>
        <w:rPr>
          <w:highlight w:val="yellow"/>
          <w:rtl/>
        </w:rPr>
        <w:t xml:space="preserve">]</w:t>
      </w:r>
      <w:r>
        <w:rPr>
          <w:rtl/>
        </w:rPr>
        <w:t xml:space="preserve">. ويلتزم صاحب العمل بتسليم شهادة خدمة عند الطلب، بلا مقابل.</w:t>
      </w:r>
    </w:p>
    <w:p>
      <w:pPr>
        <w:pStyle w:val="Heading1"/>
        <w:bidi/>
      </w:pPr>
      <w:commentRangeStart w:id="5"/>
      <w:r>
        <w:rPr>
          <w:rtl/>
        </w:rPr>
        <w:t xml:space="preserve">البند (8): ما يبقى بعد الانتهاء</w:t>
      </w:r>
      <w:commentRangeEnd w:id="5"/>
      <w:r>
        <w:rPr>
          <w:rtl/>
        </w:rPr>
        <w:commentReference w:id="5"/>
      </w:r>
    </w:p>
    <w:p>
      <w:pPr>
        <w:bidi/>
      </w:pPr>
      <w:r>
        <w:rPr>
          <w:rtl/>
        </w:rPr>
        <w:t xml:space="preserve">تبقى السرية لمدة </w:t>
      </w:r>
      <w:r>
        <w:rPr>
          <w:highlight w:val="yellow"/>
          <w:rtl/>
        </w:rPr>
        <w:t xml:space="preserve">[</w:t>
      </w:r>
      <w:r>
        <w:rPr>
          <w:highlight w:val="yellow"/>
          <w:rtl/>
        </w:rPr>
        <w:t xml:space="preserve">●</w:t>
      </w:r>
      <w:r>
        <w:rPr>
          <w:highlight w:val="yellow"/>
          <w:rtl/>
        </w:rPr>
        <w:t xml:space="preserve">]</w:t>
      </w:r>
      <w:r>
        <w:rPr>
          <w:rtl/>
        </w:rPr>
        <w:t xml:space="preserve">. وشرط عدم المنافسة، إن وُجد في العقد وكان مكتوباً ومحدوداً: </w:t>
      </w:r>
      <w:r>
        <w:rPr>
          <w:highlight w:val="yellow"/>
          <w:rtl/>
        </w:rPr>
        <w:t xml:space="preserve">[</w:t>
      </w:r>
      <w:r>
        <w:rPr>
          <w:highlight w:val="yellow"/>
          <w:rtl/>
        </w:rPr>
        <w:t xml:space="preserve">يبقى / يُحذف</w:t>
      </w:r>
      <w:r>
        <w:rPr>
          <w:highlight w:val="yellow"/>
          <w:rtl/>
        </w:rPr>
        <w:t xml:space="preserve">]</w:t>
      </w:r>
      <w:r>
        <w:rPr>
          <w:rtl/>
        </w:rPr>
        <w:t xml:space="preserve">.</w:t>
      </w:r>
    </w:p>
    <w:p>
      <w:pPr>
        <w:pStyle w:val="Heading1"/>
        <w:bidi/>
      </w:pPr>
      <w:commentRangeStart w:id="6"/>
      <w:r>
        <w:rPr>
          <w:rtl/>
        </w:rPr>
        <w:t xml:space="preserve">البند (9): النظام والاختصاص</w:t>
      </w:r>
      <w:commentRangeEnd w:id="6"/>
      <w:r>
        <w:rPr>
          <w:rtl/>
        </w:rPr>
        <w:commentReference w:id="6"/>
      </w:r>
    </w:p>
    <w:p>
      <w:pPr>
        <w:bidi/>
      </w:pPr>
      <w:r>
        <w:rPr>
          <w:rtl/>
        </w:rPr>
        <w:t xml:space="preserve">تخضع هذه المخالصة لـ</w:t>
      </w:r>
      <w:r>
        <w:rPr>
          <w:highlight w:val="yellow"/>
          <w:rtl/>
        </w:rPr>
        <w:t xml:space="preserve">[</w:t>
      </w:r>
      <w:r>
        <w:rPr>
          <w:highlight w:val="yellow"/>
          <w:rtl/>
        </w:rPr>
        <w:t xml:space="preserve">نظام العمل السعودي / المرسوم بقانون الاتحادي رقم 33 لسنة 2021 / ●</w:t>
      </w:r>
      <w:r>
        <w:rPr>
          <w:highlight w:val="yellow"/>
          <w:rtl/>
        </w:rPr>
        <w:t xml:space="preserve">]</w:t>
      </w:r>
      <w:r>
        <w:rPr>
          <w:rtl/>
        </w:rPr>
        <w:t xml:space="preserve">، وتُنظر منازعتها أمام </w:t>
      </w:r>
      <w:r>
        <w:rPr>
          <w:highlight w:val="yellow"/>
          <w:rtl/>
        </w:rPr>
        <w:t xml:space="preserve">[</w:t>
      </w:r>
      <w:r>
        <w:rPr>
          <w:highlight w:val="yellow"/>
          <w:rtl/>
        </w:rPr>
        <w:t xml:space="preserve">●</w:t>
      </w:r>
      <w:r>
        <w:rPr>
          <w:highlight w:val="yellow"/>
          <w:rtl/>
        </w:rPr>
        <w:t xml:space="preserve">]</w:t>
      </w:r>
      <w:r>
        <w:rPr>
          <w:rtl/>
        </w:rPr>
        <w:t xml:space="preserve">.</w:t>
      </w:r>
    </w:p>
    <w:p>
      <w:pPr>
        <w:pStyle w:val="Heading1"/>
        <w:bidi/>
      </w:pPr>
      <w:r>
        <w:rPr>
          <w:rtl/>
        </w:rPr>
        <w:t xml:space="preserve">البند (10): التوقيع</w:t>
      </w:r>
    </w:p>
    <w:p>
      <w:pPr>
        <w:pBdr>
          <w:top w:val="single" w:color="888888" w:sz="6" w:space="6"/>
          <w:left w:val="single" w:color="888888" w:sz="6" w:space="6"/>
          <w:bottom w:val="single" w:color="888888" w:sz="6" w:space="6"/>
          <w:right w:val="single" w:color="888888" w:sz="6" w:space="6"/>
        </w:pBdr>
        <w:bidi/>
        <w:spacing w:after="120"/>
      </w:pPr>
      <w:r>
        <w:rPr>
          <w:b/>
          <w:bCs/>
          <w:rtl/>
        </w:rPr>
        <w:t xml:space="preserve">صاحب العمل:</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العامل:</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الشاهد الأول:</w:t>
      </w:r>
      <w:r>
        <w:rPr>
          <w:rtl/>
        </w:rPr>
        <w:t xml:space="preserve"> </w:t>
      </w:r>
      <w:r>
        <w:rPr>
          <w:highlight w:val="yellow"/>
          <w:rtl/>
        </w:rPr>
        <w:t xml:space="preserve">[</w:t>
      </w:r>
      <w:r>
        <w:rPr>
          <w:highlight w:val="yellow"/>
          <w:rtl/>
        </w:rPr>
        <w:t xml:space="preserve">●</w:t>
      </w:r>
      <w:r>
        <w:rPr>
          <w:highlight w:val="yellow"/>
          <w:rtl/>
        </w:rPr>
        <w:t xml:space="preserve">]</w:t>
      </w:r>
      <w:r>
        <w:rPr>
          <w:rtl/>
        </w:rPr>
        <w:t xml:space="preserve"> · </w:t>
      </w:r>
      <w:r>
        <w:rPr>
          <w:b/>
          <w:bCs/>
          <w:rtl/>
        </w:rPr>
        <w:t xml:space="preserve">الشاهد الثاني:</w:t>
      </w:r>
      <w:r>
        <w:rPr>
          <w:rtl/>
        </w:rPr>
        <w:t xml:space="preserve"> </w:t>
      </w:r>
      <w:r>
        <w:rPr>
          <w:highlight w:val="yellow"/>
          <w:rtl/>
        </w:rPr>
        <w:t xml:space="preserve">[</w:t>
      </w:r>
      <w:r>
        <w:rPr>
          <w:highlight w:val="yellow"/>
          <w:rtl/>
        </w:rPr>
        <w:t xml:space="preserve">●</w:t>
      </w:r>
      <w:r>
        <w:rPr>
          <w:highlight w:val="yellow"/>
          <w:rtl/>
        </w:rPr>
        <w:t xml:space="preserve">]</w:t>
      </w:r>
    </w:p>
    <w:p>
      <w:pPr>
        <w:pStyle w:val="Heading1"/>
        <w:bidi/>
      </w:pPr>
      <w:commentRangeStart w:id="7"/>
      <w:r>
        <w:rPr>
          <w:rtl/>
        </w:rPr>
        <w:t xml:space="preserve">البند (11): نسخة تجارية (احذفوها في مخالصة العامل)</w:t>
      </w:r>
      <w:commentRangeEnd w:id="7"/>
      <w:r>
        <w:rPr>
          <w:rtl/>
        </w:rPr>
        <w:commentReference w:id="7"/>
      </w:r>
    </w:p>
    <w:p>
      <w:pPr>
        <w:bidi/>
      </w:pPr>
      <w:r>
        <w:rPr>
          <w:rtl/>
        </w:rPr>
        <w:t xml:space="preserve">بين </w:t>
      </w:r>
      <w:r>
        <w:rPr>
          <w:highlight w:val="yellow"/>
          <w:rtl/>
        </w:rPr>
        <w:t xml:space="preserve">[</w:t>
      </w:r>
      <w:r>
        <w:rPr>
          <w:highlight w:val="yellow"/>
          <w:rtl/>
        </w:rPr>
        <w:t xml:space="preserve">الشركة الأولى</w:t>
      </w:r>
      <w:r>
        <w:rPr>
          <w:highlight w:val="yellow"/>
          <w:rtl/>
        </w:rPr>
        <w:t xml:space="preserve">]</w:t>
      </w:r>
      <w:r>
        <w:rPr>
          <w:rtl/>
        </w:rPr>
        <w:t xml:space="preserve">، سجل </w:t>
      </w:r>
      <w:r>
        <w:rPr>
          <w:highlight w:val="yellow"/>
          <w:rtl/>
        </w:rPr>
        <w:t xml:space="preserve">[</w:t>
      </w:r>
      <w:r>
        <w:rPr>
          <w:highlight w:val="yellow"/>
          <w:rtl/>
        </w:rPr>
        <w:t xml:space="preserve">●</w:t>
      </w:r>
      <w:r>
        <w:rPr>
          <w:highlight w:val="yellow"/>
          <w:rtl/>
        </w:rPr>
        <w:t xml:space="preserve">]</w:t>
      </w:r>
      <w:r>
        <w:rPr>
          <w:rtl/>
        </w:rPr>
        <w:t xml:space="preserve">، و</w:t>
      </w:r>
      <w:r>
        <w:rPr>
          <w:highlight w:val="yellow"/>
          <w:rtl/>
        </w:rPr>
        <w:t xml:space="preserve">[</w:t>
      </w:r>
      <w:r>
        <w:rPr>
          <w:highlight w:val="yellow"/>
          <w:rtl/>
        </w:rPr>
        <w:t xml:space="preserve">الشركة الثانية أو المقاول</w:t>
      </w:r>
      <w:r>
        <w:rPr>
          <w:highlight w:val="yellow"/>
          <w:rtl/>
        </w:rPr>
        <w:t xml:space="preserve">]</w:t>
      </w:r>
      <w:r>
        <w:rPr>
          <w:rtl/>
        </w:rPr>
        <w:t xml:space="preserve">، سجل </w:t>
      </w:r>
      <w:r>
        <w:rPr>
          <w:highlight w:val="yellow"/>
          <w:rtl/>
        </w:rPr>
        <w:t xml:space="preserve">[</w:t>
      </w:r>
      <w:r>
        <w:rPr>
          <w:highlight w:val="yellow"/>
          <w:rtl/>
        </w:rPr>
        <w:t xml:space="preserve">●</w:t>
      </w:r>
      <w:r>
        <w:rPr>
          <w:highlight w:val="yellow"/>
          <w:rtl/>
        </w:rPr>
        <w:t xml:space="preserve">]</w:t>
      </w:r>
      <w:r>
        <w:rPr>
          <w:rtl/>
        </w:rPr>
        <w:t xml:space="preserve">. الرصيد المصفّى: </w:t>
      </w:r>
      <w:r>
        <w:rPr>
          <w:highlight w:val="yellow"/>
          <w:rtl/>
        </w:rPr>
        <w:t xml:space="preserve">[</w:t>
      </w:r>
      <w:r>
        <w:rPr>
          <w:highlight w:val="yellow"/>
          <w:rtl/>
        </w:rPr>
        <w:t xml:space="preserve">●</w:t>
      </w:r>
      <w:r>
        <w:rPr>
          <w:highlight w:val="yellow"/>
          <w:rtl/>
        </w:rPr>
        <w:t xml:space="preserve">]</w:t>
      </w:r>
      <w:r>
        <w:rPr>
          <w:rtl/>
        </w:rPr>
        <w:t xml:space="preserve">. الأعمال المسلّمة: </w:t>
      </w:r>
      <w:r>
        <w:rPr>
          <w:highlight w:val="yellow"/>
          <w:rtl/>
        </w:rPr>
        <w:t xml:space="preserve">[</w:t>
      </w:r>
      <w:r>
        <w:rPr>
          <w:highlight w:val="yellow"/>
          <w:rtl/>
        </w:rPr>
        <w:t xml:space="preserve">●</w:t>
      </w:r>
      <w:r>
        <w:rPr>
          <w:highlight w:val="yellow"/>
          <w:rtl/>
        </w:rPr>
        <w:t xml:space="preserve">]</w:t>
      </w:r>
      <w:r>
        <w:rPr>
          <w:rtl/>
        </w:rPr>
        <w:t xml:space="preserve">. يبرئ كل طرف ذمة الآخر عن هذا الرصيد وهذه الأعمال، لا عن عقد آخر.</w:t>
      </w:r>
    </w:p>
    <w:p>
      <w:pPr>
        <w:pStyle w:val="Heading1"/>
        <w:pageBreakBefore/>
        <w:bidi/>
      </w:pPr>
      <w:r>
        <w:rPr>
          <w:rtl/>
        </w:rPr>
        <w:t xml:space="preserve">ملاحظات عن المملكة العربية السعودية</w:t>
      </w:r>
    </w:p>
    <w:p>
      <w:pPr>
        <w:bidi/>
      </w:pPr>
      <w:r>
        <w:rPr>
          <w:rtl/>
        </w:rPr>
        <w:t xml:space="preserve">نظام العمل. وتُوقَّع المخالصة بعد انتهاء العلاقة.</w:t>
      </w:r>
      <w:r>
        <w:rPr>
          <w:rtl/>
        </w:rPr>
        <w:t xml:space="preserve"> [1]</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أثناء العقد</w:t>
            </w:r>
          </w:p>
        </w:tc>
        <w:tc>
          <w:tcPr>
            <w:tcMar>
              <w:top w:type="dxa" w:w="80"/>
              <w:left w:type="dxa" w:w="100"/>
              <w:bottom w:type="dxa" w:w="80"/>
              <w:right w:type="dxa" w:w="100"/>
            </w:tcMar>
          </w:tcPr>
          <w:p>
            <w:pPr>
              <w:bidi/>
              <w:spacing w:after="0"/>
            </w:pPr>
            <w:r>
              <w:rPr>
                <w:b w:val="false"/>
                <w:sz w:val="18"/>
                <w:szCs w:val="18"/>
                <w:rtl/>
              </w:rPr>
              <w:t xml:space="preserve">يبطل كل إبراء أو مصالحة عن حقوق العامل أثناء سريان العقد ما لم يكن أكثر فائدة له (المادة الثامنة).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المدة</w:t>
            </w:r>
          </w:p>
        </w:tc>
        <w:tc>
          <w:tcPr>
            <w:tcMar>
              <w:top w:type="dxa" w:w="80"/>
              <w:left w:type="dxa" w:w="100"/>
              <w:bottom w:type="dxa" w:w="80"/>
              <w:right w:type="dxa" w:w="100"/>
            </w:tcMar>
          </w:tcPr>
          <w:p>
            <w:pPr>
              <w:bidi/>
              <w:spacing w:after="0"/>
            </w:pPr>
            <w:r>
              <w:rPr>
                <w:b w:val="false"/>
                <w:sz w:val="18"/>
                <w:szCs w:val="18"/>
                <w:rtl/>
              </w:rPr>
              <w:t xml:space="preserve">تصفية الحقوق خلال أسبوع على الأكثر، وخلال أسبوعين إذا أنهى العامل العقد (المادة الثامنة والثمانون).</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المكافأة</w:t>
            </w:r>
          </w:p>
        </w:tc>
        <w:tc>
          <w:tcPr>
            <w:tcMar>
              <w:top w:type="dxa" w:w="80"/>
              <w:left w:type="dxa" w:w="100"/>
              <w:bottom w:type="dxa" w:w="80"/>
              <w:right w:type="dxa" w:w="100"/>
            </w:tcMar>
          </w:tcPr>
          <w:p>
            <w:pPr>
              <w:bidi/>
              <w:spacing w:after="0"/>
            </w:pPr>
            <w:r>
              <w:rPr>
                <w:b w:val="false"/>
                <w:sz w:val="18"/>
                <w:szCs w:val="18"/>
                <w:rtl/>
              </w:rPr>
              <w:t xml:space="preserve">أجر نصف شهر عن كل سنة من الخمس الأولى، وأجر شهر عن كل سنة بعدها (المادة الرابعة والثمانون).</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سماع الدعوى</w:t>
            </w:r>
          </w:p>
        </w:tc>
        <w:tc>
          <w:tcPr>
            <w:tcMar>
              <w:top w:type="dxa" w:w="80"/>
              <w:left w:type="dxa" w:w="100"/>
              <w:bottom w:type="dxa" w:w="80"/>
              <w:right w:type="dxa" w:w="100"/>
            </w:tcMar>
          </w:tcPr>
          <w:p>
            <w:pPr>
              <w:bidi/>
              <w:spacing w:after="0"/>
            </w:pPr>
            <w:r>
              <w:rPr>
                <w:b w:val="false"/>
                <w:sz w:val="18"/>
                <w:szCs w:val="18"/>
                <w:rtl/>
              </w:rPr>
              <w:t xml:space="preserve">لا تُسمع الدعوى بعد اثني عشر شهراً من انتهاء العلاقة (المادة الثانية والعشرون بعد المائتين).</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الشهادة</w:t>
            </w:r>
          </w:p>
        </w:tc>
        <w:tc>
          <w:tcPr>
            <w:tcMar>
              <w:top w:type="dxa" w:w="80"/>
              <w:left w:type="dxa" w:w="100"/>
              <w:bottom w:type="dxa" w:w="80"/>
              <w:right w:type="dxa" w:w="100"/>
            </w:tcMar>
          </w:tcPr>
          <w:p>
            <w:pPr>
              <w:bidi/>
              <w:spacing w:after="0"/>
            </w:pPr>
            <w:r>
              <w:rPr>
                <w:b w:val="false"/>
                <w:sz w:val="18"/>
                <w:szCs w:val="18"/>
                <w:rtl/>
              </w:rPr>
              <w:t xml:space="preserve">شهادة الخدمة مجاناً عند الطلب (المادة الرابعة والستون).</w:t>
            </w:r>
            <w:r>
              <w:rPr>
                <w:b w:val="false"/>
                <w:sz w:val="18"/>
                <w:szCs w:val="18"/>
                <w:rtl/>
              </w:rPr>
              <w:t xml:space="preserve"> [1]</w:t>
            </w:r>
          </w:p>
        </w:tc>
      </w:tr>
    </w:tbl>
    <w:p>
      <w:pPr>
        <w:bidi/>
      </w:pPr>
    </w:p>
    <w:p>
      <w:pPr>
        <w:pStyle w:val="Heading1"/>
        <w:pageBreakBefore/>
        <w:bidi/>
      </w:pPr>
      <w:r>
        <w:rPr>
          <w:rtl/>
        </w:rPr>
        <w:t xml:space="preserve">ملاحظات عن الإمارات العربية المتحدة</w:t>
      </w:r>
    </w:p>
    <w:p>
      <w:pPr>
        <w:bidi/>
      </w:pPr>
      <w:r>
        <w:rPr>
          <w:rtl/>
        </w:rPr>
        <w:t xml:space="preserve">المرسوم بقانون اتحادي رقم (33) لسنة 2021. ومهلة سداد المستحقات بعد الانتهاء لم تُراجع، فلا تُذكر.</w:t>
      </w:r>
      <w:r>
        <w:rPr>
          <w:rtl/>
        </w:rPr>
        <w:t xml:space="preserve"> [2]</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المكافأة</w:t>
            </w:r>
          </w:p>
        </w:tc>
        <w:tc>
          <w:tcPr>
            <w:tcMar>
              <w:top w:type="dxa" w:w="80"/>
              <w:left w:type="dxa" w:w="100"/>
              <w:bottom w:type="dxa" w:w="80"/>
              <w:right w:type="dxa" w:w="100"/>
            </w:tcMar>
          </w:tcPr>
          <w:p>
            <w:pPr>
              <w:bidi/>
              <w:spacing w:after="0"/>
            </w:pPr>
            <w:r>
              <w:rPr>
                <w:b w:val="false"/>
                <w:sz w:val="18"/>
                <w:szCs w:val="18"/>
                <w:rtl/>
              </w:rPr>
              <w:t xml:space="preserve">للعامل الأجنبي بدوام كامل بعد سنة فأكثر، على الأجر الأساسي: واحد وعشرون يوماً عن كل سنة من الخمس الأولى وثلاثون يوماً عما زاد. والمواطن تحكمه تشريعات المعاشات (المادة 51).</w:t>
            </w:r>
            <w:r>
              <w:rPr>
                <w:b w:val="false"/>
                <w:sz w:val="18"/>
                <w:szCs w:val="18"/>
                <w:rtl/>
              </w:rPr>
              <w:t xml:space="preserve"> [2]</w:t>
            </w:r>
          </w:p>
        </w:tc>
      </w:tr>
      <w:tr>
        <w:trPr>
          <w:cantSplit/>
        </w:trPr>
        <w:tc>
          <w:tcPr>
            <w:tcMar>
              <w:top w:type="dxa" w:w="80"/>
              <w:left w:type="dxa" w:w="100"/>
              <w:bottom w:type="dxa" w:w="80"/>
              <w:right w:type="dxa" w:w="100"/>
            </w:tcMar>
          </w:tcPr>
          <w:p>
            <w:pPr>
              <w:bidi/>
              <w:spacing w:after="0"/>
            </w:pPr>
            <w:r>
              <w:rPr>
                <w:b w:val="false"/>
                <w:sz w:val="18"/>
                <w:szCs w:val="18"/>
                <w:rtl/>
              </w:rPr>
              <w:t xml:space="preserve">المنازعة</w:t>
            </w:r>
          </w:p>
        </w:tc>
        <w:tc>
          <w:tcPr>
            <w:tcMar>
              <w:top w:type="dxa" w:w="80"/>
              <w:left w:type="dxa" w:w="100"/>
              <w:bottom w:type="dxa" w:w="80"/>
              <w:right w:type="dxa" w:w="100"/>
            </w:tcMar>
          </w:tcPr>
          <w:p>
            <w:pPr>
              <w:bidi/>
              <w:spacing w:after="0"/>
            </w:pPr>
            <w:r>
              <w:rPr>
                <w:b w:val="false"/>
                <w:sz w:val="18"/>
                <w:szCs w:val="18"/>
                <w:rtl/>
              </w:rPr>
              <w:t xml:space="preserve">منازعات العمل الفردية تتناولها المادة (54).</w:t>
            </w:r>
            <w:r>
              <w:rPr>
                <w:b w:val="false"/>
                <w:sz w:val="18"/>
                <w:szCs w:val="18"/>
                <w:rtl/>
              </w:rPr>
              <w:t xml:space="preserve"> [2]</w:t>
            </w:r>
          </w:p>
        </w:tc>
      </w:tr>
    </w:tbl>
    <w:p>
      <w:pPr>
        <w:bidi/>
      </w:pPr>
    </w:p>
    <w:p>
      <w:pPr>
        <w:pStyle w:val="Heading1"/>
        <w:pageBreakBefore/>
        <w:bidi/>
      </w:pPr>
      <w:r>
        <w:rPr>
          <w:rtl/>
        </w:rPr>
        <w:t xml:space="preserve">ملاحظات عن المخالصة التجارية</w:t>
      </w:r>
    </w:p>
    <w:p>
      <w:pPr>
        <w:bidi/>
      </w:pPr>
      <w:r>
        <w:rPr>
          <w:rtl/>
        </w:rPr>
        <w:t xml:space="preserve">للبند (11) فقط. وقانون العمل في هذه الدول لم يُراجع هنا.</w:t>
      </w:r>
      <w:r>
        <w:rPr>
          <w:rtl/>
        </w:rPr>
        <w:t xml:space="preserve"> [3][4]</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الدولة</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البحرين</w:t>
            </w:r>
          </w:p>
        </w:tc>
        <w:tc>
          <w:tcPr>
            <w:tcMar>
              <w:top w:type="dxa" w:w="80"/>
              <w:left w:type="dxa" w:w="100"/>
              <w:bottom w:type="dxa" w:w="80"/>
              <w:right w:type="dxa" w:w="100"/>
            </w:tcMar>
          </w:tcPr>
          <w:p>
            <w:pPr>
              <w:bidi/>
              <w:spacing w:after="0"/>
            </w:pPr>
            <w:r>
              <w:rPr>
                <w:b w:val="false"/>
                <w:sz w:val="18"/>
                <w:szCs w:val="18"/>
                <w:rtl/>
              </w:rPr>
              <w:t xml:space="preserve">الصلح عقد يحسم نزاعاً قائماً أو محتملاً (المادة 496 من القانون المدني).</w:t>
            </w:r>
            <w:r>
              <w:rPr>
                <w:b w:val="false"/>
                <w:sz w:val="18"/>
                <w:szCs w:val="18"/>
                <w:rtl/>
              </w:rPr>
              <w:t xml:space="preserve"> [3]</w:t>
            </w:r>
          </w:p>
        </w:tc>
      </w:tr>
      <w:tr>
        <w:trPr>
          <w:cantSplit/>
        </w:trPr>
        <w:tc>
          <w:tcPr>
            <w:tcMar>
              <w:top w:type="dxa" w:w="80"/>
              <w:left w:type="dxa" w:w="100"/>
              <w:bottom w:type="dxa" w:w="80"/>
              <w:right w:type="dxa" w:w="100"/>
            </w:tcMar>
          </w:tcPr>
          <w:p>
            <w:pPr>
              <w:bidi/>
              <w:spacing w:after="0"/>
            </w:pPr>
            <w:r>
              <w:rPr>
                <w:b w:val="false"/>
                <w:sz w:val="18"/>
                <w:szCs w:val="18"/>
                <w:rtl/>
              </w:rPr>
              <w:t xml:space="preserve">عُمان</w:t>
            </w:r>
          </w:p>
        </w:tc>
        <w:tc>
          <w:tcPr>
            <w:tcMar>
              <w:top w:type="dxa" w:w="80"/>
              <w:left w:type="dxa" w:w="100"/>
              <w:bottom w:type="dxa" w:w="80"/>
              <w:right w:type="dxa" w:w="100"/>
            </w:tcMar>
          </w:tcPr>
          <w:p>
            <w:pPr>
              <w:bidi/>
              <w:spacing w:after="0"/>
            </w:pPr>
            <w:r>
              <w:rPr>
                <w:b w:val="false"/>
                <w:sz w:val="18"/>
                <w:szCs w:val="18"/>
                <w:rtl/>
              </w:rPr>
              <w:t xml:space="preserve">الصلح عقد يحسم نزاعاً قائماً أو محتملاً فيما يجوز التصالح فيه (المادة 504).</w:t>
            </w:r>
            <w:r>
              <w:rPr>
                <w:b w:val="false"/>
                <w:sz w:val="18"/>
                <w:szCs w:val="18"/>
                <w:rtl/>
              </w:rPr>
              <w:t xml:space="preserve"> [4]</w:t>
            </w:r>
          </w:p>
        </w:tc>
      </w:tr>
    </w:tbl>
    <w:p>
      <w:pPr>
        <w:bidi/>
      </w:pPr>
    </w:p>
    <w:p>
      <w:pPr>
        <w:pStyle w:val="Heading1"/>
        <w:bidi/>
      </w:pPr>
      <w:r>
        <w:rPr>
          <w:rtl/>
        </w:rPr>
        <w:t xml:space="preserve">قطر والكويت</w:t>
      </w:r>
    </w:p>
    <w:p>
      <w:pPr>
        <w:pStyle w:val="ListParagraph"/>
        <w:numPr>
          <w:ilvl w:val="0"/>
          <w:numId w:val="2"/>
        </w:numPr>
        <w:bidi/>
      </w:pPr>
      <w:r>
        <w:rPr>
          <w:rtl/>
        </w:rPr>
        <w:t xml:space="preserve">قطر: لم يُراجع قانون العمل في هذه الصفحة. لا تُنقل مهلة أو معادلة مكافأة من السعودية أو الإمارات.</w:t>
      </w:r>
    </w:p>
    <w:p>
      <w:pPr>
        <w:pStyle w:val="ListParagraph"/>
        <w:numPr>
          <w:ilvl w:val="0"/>
          <w:numId w:val="2"/>
        </w:numPr>
        <w:bidi/>
      </w:pPr>
      <w:r>
        <w:rPr>
          <w:rtl/>
        </w:rPr>
        <w:t xml:space="preserve">الكويت: لم يُراجع قانون العمل في القطاع الأهلي. راجعوا المخالصة مع محامٍ كويتي.</w:t>
      </w:r>
    </w:p>
    <w:p>
      <w:pPr>
        <w:pStyle w:val="Heading1"/>
        <w:pageBreakBefore/>
        <w:bidi/>
      </w:pPr>
      <w:r>
        <w:rPr>
          <w:rtl/>
        </w:rPr>
        <w:t xml:space="preserve">الملحق (1): بيان المبالغ</w:t>
      </w:r>
    </w:p>
    <w:p>
      <w:pPr>
        <w:bidi/>
      </w:pPr>
      <w:r>
        <w:rPr>
          <w:rtl/>
        </w:rPr>
        <w:t xml:space="preserve">اكتبوا المبلغ وسنده. والصافي هو ما يقرّ البند (5) باستلامه.</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المبلغ</w:t>
            </w:r>
          </w:p>
        </w:tc>
        <w:tc>
          <w:tcPr>
            <w:shd w:fill="EDEDED" w:color="auto" w:val="clear"/>
            <w:tcMar>
              <w:top w:type="dxa" w:w="80"/>
              <w:left w:type="dxa" w:w="100"/>
              <w:bottom w:type="dxa" w:w="80"/>
              <w:right w:type="dxa" w:w="100"/>
            </w:tcMar>
          </w:tcPr>
          <w:p>
            <w:pPr>
              <w:bidi/>
              <w:spacing w:after="0"/>
            </w:pPr>
            <w:r>
              <w:rPr>
                <w:b/>
                <w:bCs/>
                <w:sz w:val="18"/>
                <w:szCs w:val="18"/>
                <w:rtl/>
              </w:rPr>
              <w:t xml:space="preserve">السند</w:t>
            </w:r>
          </w:p>
        </w:tc>
      </w:tr>
      <w:tr>
        <w:trPr>
          <w:cantSplit/>
        </w:trPr>
        <w:tc>
          <w:tcPr>
            <w:tcMar>
              <w:top w:type="dxa" w:w="80"/>
              <w:left w:type="dxa" w:w="100"/>
              <w:bottom w:type="dxa" w:w="80"/>
              <w:right w:type="dxa" w:w="100"/>
            </w:tcMar>
          </w:tcPr>
          <w:p>
            <w:pPr>
              <w:bidi/>
              <w:spacing w:after="0"/>
            </w:pPr>
            <w:r>
              <w:rPr>
                <w:b w:val="false"/>
                <w:sz w:val="18"/>
                <w:szCs w:val="18"/>
                <w:rtl/>
              </w:rPr>
              <w:t xml:space="preserve">الأجر حتى آخر يوم</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بدل الإجازات</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مكافأة نهاية الخدمة</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المادة 84 / المادة 51</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بدلات وعمولات</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تذكرة العودة، إن وُجدت</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خصومات بسندها</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الصافي</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p>
        </w:tc>
      </w:tr>
    </w:tbl>
    <w:p>
      <w:pPr>
        <w:bidi/>
      </w:pP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lmfpkmplgw86i209bzixw">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‪https://www.qanu.ai/ar/نماذج/نموذج-مخالصة-نهائية‬ · آخر مراجعة: 22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هيئة الخبراء بمجلس الوزراء، نظام العمل الصادر بالمرسوم الملكي رقم (م/51) وتاريخ 23/8/1426هـ، ومنه إشارة المرسوم الملكي رقم (م/44) وتاريخ 8/2/1446هـ إلى تعريف الاستقالة </w:t>
      </w:r>
      <w:hyperlink w:history="1" r:id="rIdcaxun_uwyvymxtidvui0q">
        <w:r>
          <w:rPr>
            <w:rStyle w:val="Hyperlink"/>
            <w:sz w:val="16"/>
            <w:szCs w:val="16"/>
          </w:rPr>
          <w:t xml:space="preserve">https://laws.boe.gov.sa/BoeLaws/Laws/LawDetails/08381293-6388-48e2-8ad2-a9a700f2aa94/1</w:t>
        </w:r>
      </w:hyperlink>
    </w:p>
    <w:p>
      <w:pPr>
        <w:bidi/>
        <w:ind w:start="360" w:hanging="360"/>
      </w:pPr>
      <w:r>
        <w:rPr>
          <w:sz w:val="18"/>
          <w:szCs w:val="18"/>
          <w:rtl/>
        </w:rPr>
        <w:t xml:space="preserve">[2] تشريعات الإمارات، المرسوم بقانون اتحادي رقم (33) لسنة 2021 بشأن تنظيم علاقات العمل، المادتان (51) و(54) </w:t>
      </w:r>
      <w:hyperlink w:history="1" r:id="rIdwjrauppjf5apzd7ftj71g">
        <w:r>
          <w:rPr>
            <w:rStyle w:val="Hyperlink"/>
            <w:sz w:val="16"/>
            <w:szCs w:val="16"/>
          </w:rPr>
          <w:t xml:space="preserve">https://uaelegislation.gov.ae/ar/legislations/1541</w:t>
        </w:r>
      </w:hyperlink>
    </w:p>
    <w:p>
      <w:pPr>
        <w:bidi/>
        <w:ind w:start="360" w:hanging="360"/>
      </w:pPr>
      <w:r>
        <w:rPr>
          <w:sz w:val="18"/>
          <w:szCs w:val="18"/>
          <w:rtl/>
        </w:rPr>
        <w:t xml:space="preserve">[3] هيئة التشريع والرأي القانوني، القانون المدني البحريني الصادر بالمرسوم بقانون رقم (19) لسنة 2001 </w:t>
      </w:r>
      <w:hyperlink w:history="1" r:id="rId0di4wd29-qew4o8bmgptm">
        <w:r>
          <w:rPr>
            <w:rStyle w:val="Hyperlink"/>
            <w:sz w:val="16"/>
            <w:szCs w:val="16"/>
          </w:rPr>
          <w:t xml:space="preserve">https://www.lloc.gov.bh/Legislation/HTM/L1901</w:t>
        </w:r>
      </w:hyperlink>
    </w:p>
    <w:p>
      <w:pPr>
        <w:bidi/>
        <w:ind w:start="360" w:hanging="360"/>
      </w:pPr>
      <w:r>
        <w:rPr>
          <w:sz w:val="18"/>
          <w:szCs w:val="18"/>
          <w:rtl/>
        </w:rPr>
        <w:t xml:space="preserve">[4] قانون المعاملات المدنية، المرسوم السلطاني رقم 29/2013 (قُرئ النص في qanoon.om وهي مرآة غير حكومية؛ الإدراج الرسمي لدى وزارة العدل والشؤون القانونية) </w:t>
      </w:r>
      <w:hyperlink w:history="1" r:id="rId-d_h4ctfjaqt14zhl3xq6">
        <w:r>
          <w:rPr>
            <w:rStyle w:val="Hyperlink"/>
            <w:sz w:val="16"/>
            <w:szCs w:val="16"/>
          </w:rPr>
          <w:t xml:space="preserve">https://qanoon.om/p/2013/rd2013029/</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pPr>
      <w:r>
        <w:rPr>
          <w:b/>
          <w:bCs/>
          <w:rtl/>
        </w:rPr>
        <w:t xml:space="preserve">ملاحظة صياغة</w:t>
      </w:r>
    </w:p>
    <w:p>
      <w:pPr>
        <w:bidi/>
      </w:pPr>
      <w:r>
        <w:rPr>
          <w:rtl/>
        </w:rPr>
        <w:t xml:space="preserve">سبب الانتهاء يغيّر المهلة في السعودية: أسبوع إذا أنهى صاحب العمل، وأسبوعان إذا أنهى العامل.</w:t>
      </w:r>
      <w:r>
        <w:rPr>
          <w:rtl/>
        </w:rPr>
        <w:t xml:space="preserve"> [1]</w:t>
      </w:r>
    </w:p>
  </w:comment>
  <w:comment w:id="1" w:initials="Q" w:author="Qanu" w:date="2026-10-22T00:00:00.000Z">
    <w:p>
      <w:pPr>
        <w:bidi/>
      </w:pPr>
      <w:r>
        <w:rPr>
          <w:b/>
          <w:bCs/>
          <w:rtl/>
        </w:rPr>
        <w:t xml:space="preserve">ملاحظة صياغة</w:t>
      </w:r>
    </w:p>
    <w:p>
      <w:pPr>
        <w:bidi/>
      </w:pPr>
      <w:r>
        <w:rPr>
          <w:rtl/>
        </w:rPr>
        <w:t xml:space="preserve">في السعودية: أجر نصف شهر عن كل سنة من الخمس الأولى، وأجر شهر عن كل سنة بعدها.</w:t>
      </w:r>
      <w:r>
        <w:rPr>
          <w:rtl/>
        </w:rPr>
        <w:t xml:space="preserve"> [1]</w:t>
      </w:r>
      <w:r>
        <w:rPr>
          <w:rtl/>
        </w:rPr>
        <w:t xml:space="preserve"> وفي الإمارات، للعامل الأجنبي بدوام كامل بعد سنة فأكثر، تُحسب المكافأة على الأجر الأساسي: واحد وعشرون يوماً عن كل سنة من الخمس الأولى وثلاثون يوماً عما زاد، ويخضع المواطن لتشريعات المعاشات.</w:t>
      </w:r>
      <w:r>
        <w:rPr>
          <w:rtl/>
        </w:rPr>
        <w:t xml:space="preserve"> [2]</w:t>
      </w:r>
      <w:r>
        <w:rPr>
          <w:rtl/>
        </w:rPr>
        <w:t xml:space="preserve"> وانظروا </w:t>
      </w:r>
      <w:hyperlink w:history="1" r:id="rIdhvxiltfpllo50ybtklfsq">
        <w:r>
          <w:rPr>
            <w:rStyle w:val="Hyperlink"/>
            <w:rtl/>
          </w:rPr>
          <w:t xml:space="preserve">مكافأة نهاية الخدمة</w:t>
        </w:r>
      </w:hyperlink>
      <w:r>
        <w:rPr>
          <w:rtl/>
        </w:rPr>
        <w:t xml:space="preserve">.</w:t>
      </w:r>
    </w:p>
  </w:comment>
  <w:comment w:id="2" w:initials="Q" w:author="Qanu" w:date="2026-10-22T00:00:00.000Z">
    <w:p>
      <w:pPr>
        <w:bidi/>
      </w:pPr>
      <w:r>
        <w:rPr>
          <w:b/>
          <w:bCs/>
          <w:rtl/>
        </w:rPr>
        <w:t xml:space="preserve">ملاحظة صياغة</w:t>
      </w:r>
    </w:p>
    <w:p>
      <w:pPr>
        <w:bidi/>
      </w:pPr>
      <w:r>
        <w:rPr>
          <w:rtl/>
        </w:rPr>
        <w:t xml:space="preserve">لا تكتبوا خصماً بلا وصف. وحدود الخصم في نظام العمل، لا في هذا النموذج.</w:t>
      </w:r>
    </w:p>
  </w:comment>
  <w:comment w:id="3" w:initials="Q" w:author="Qanu" w:date="2026-10-22T00:00:00.000Z">
    <w:p>
      <w:pPr>
        <w:bidi/>
      </w:pPr>
      <w:r>
        <w:rPr>
          <w:b/>
          <w:bCs/>
          <w:rtl/>
        </w:rPr>
        <w:t xml:space="preserve">ملاحظة صياغة</w:t>
      </w:r>
    </w:p>
    <w:p>
      <w:pPr>
        <w:bidi/>
      </w:pPr>
      <w:r>
        <w:rPr>
          <w:rtl/>
        </w:rPr>
        <w:t xml:space="preserve">في السعودية يبطل الإبراء أثناء سريان العقد ما لم يكن أكثر فائدة للعامل، فموقع التوقيع بعد الانتهاء.</w:t>
      </w:r>
      <w:r>
        <w:rPr>
          <w:rtl/>
        </w:rPr>
        <w:t xml:space="preserve"> [1]</w:t>
      </w:r>
      <w:r>
        <w:rPr>
          <w:rtl/>
        </w:rPr>
        <w:t xml:space="preserve"> ولا تُسمع دعوى الحقوق بعد اثني عشر شهراً من انتهاء العلاقة.</w:t>
      </w:r>
      <w:r>
        <w:rPr>
          <w:rtl/>
        </w:rPr>
        <w:t xml:space="preserve"> [1]</w:t>
      </w:r>
    </w:p>
  </w:comment>
  <w:comment w:id="4" w:initials="Q" w:author="Qanu" w:date="2026-10-22T00:00:00.000Z">
    <w:p>
      <w:pPr>
        <w:bidi/>
      </w:pPr>
      <w:r>
        <w:rPr>
          <w:b/>
          <w:bCs/>
          <w:rtl/>
        </w:rPr>
        <w:t xml:space="preserve">ملاحظة صياغة</w:t>
      </w:r>
    </w:p>
    <w:p>
      <w:pPr>
        <w:bidi/>
      </w:pPr>
      <w:r>
        <w:rPr>
          <w:rtl/>
        </w:rPr>
        <w:t xml:space="preserve">في السعودية تُعطى شهادة الخدمة مجاناً عند الطلب.</w:t>
      </w:r>
      <w:r>
        <w:rPr>
          <w:rtl/>
        </w:rPr>
        <w:t xml:space="preserve"> [1]</w:t>
      </w:r>
    </w:p>
  </w:comment>
  <w:comment w:id="5" w:initials="Q" w:author="Qanu" w:date="2026-10-22T00:00:00.000Z">
    <w:p>
      <w:pPr>
        <w:bidi/>
      </w:pPr>
      <w:r>
        <w:rPr>
          <w:b/>
          <w:bCs/>
          <w:rtl/>
        </w:rPr>
        <w:t xml:space="preserve">ملاحظة صياغة</w:t>
      </w:r>
    </w:p>
    <w:p>
      <w:pPr>
        <w:bidi/>
      </w:pPr>
      <w:r>
        <w:rPr>
          <w:rtl/>
        </w:rPr>
        <w:t xml:space="preserve">انظروا </w:t>
      </w:r>
      <w:hyperlink w:history="1" r:id="rIdvamu87o19tnzb0btge2wz">
        <w:r>
          <w:rPr>
            <w:rStyle w:val="Hyperlink"/>
            <w:rtl/>
          </w:rPr>
          <w:t xml:space="preserve">شرط عدم المنافسة</w:t>
        </w:r>
      </w:hyperlink>
      <w:r>
        <w:rPr>
          <w:rtl/>
        </w:rPr>
        <w:t xml:space="preserve"> و</w:t>
      </w:r>
      <w:hyperlink w:history="1" r:id="rIdg7sqnzoodunfxvgeu-ddv">
        <w:r>
          <w:rPr>
            <w:rStyle w:val="Hyperlink"/>
            <w:rtl/>
          </w:rPr>
          <w:t xml:space="preserve">فترة التجربة</w:t>
        </w:r>
      </w:hyperlink>
      <w:r>
        <w:rPr>
          <w:rtl/>
        </w:rPr>
        <w:t xml:space="preserve">. ولا تنسخوا قيداً أوسع من العقد ومن النظام.</w:t>
      </w:r>
    </w:p>
  </w:comment>
  <w:comment w:id="6" w:initials="Q" w:author="Qanu" w:date="2026-10-22T00:00:00.000Z">
    <w:p>
      <w:pPr>
        <w:bidi/>
      </w:pPr>
      <w:r>
        <w:rPr>
          <w:b/>
          <w:bCs/>
          <w:rtl/>
        </w:rPr>
        <w:t xml:space="preserve">ملاحظة صياغة</w:t>
      </w:r>
    </w:p>
    <w:p>
      <w:pPr>
        <w:bidi/>
      </w:pPr>
      <w:r>
        <w:rPr>
          <w:rtl/>
        </w:rPr>
        <w:t xml:space="preserve">منازعات العمل الفردية في الإمارات تتناولها المادة (54).</w:t>
      </w:r>
      <w:r>
        <w:rPr>
          <w:rtl/>
        </w:rPr>
        <w:t xml:space="preserve"> [2]</w:t>
      </w:r>
      <w:r>
        <w:rPr>
          <w:rtl/>
        </w:rPr>
        <w:t xml:space="preserve"> وللصلح المدني انظروا </w:t>
      </w:r>
      <w:hyperlink w:history="1" r:id="rIdnlqymszoxa55gpw_arype">
        <w:r>
          <w:rPr>
            <w:rStyle w:val="Hyperlink"/>
            <w:rtl/>
          </w:rPr>
          <w:t xml:space="preserve">الصلح</w:t>
        </w:r>
      </w:hyperlink>
      <w:r>
        <w:rPr>
          <w:rtl/>
        </w:rPr>
        <w:t xml:space="preserve">.</w:t>
      </w:r>
    </w:p>
  </w:comment>
  <w:comment w:id="7" w:initials="Q" w:author="Qanu" w:date="2026-10-22T00:00:00.000Z">
    <w:p>
      <w:pPr>
        <w:bidi/>
      </w:pPr>
      <w:r>
        <w:rPr>
          <w:b/>
          <w:bCs/>
          <w:rtl/>
        </w:rPr>
        <w:t xml:space="preserve">ملاحظة صياغة</w:t>
      </w:r>
    </w:p>
    <w:p>
      <w:pPr>
        <w:bidi/>
      </w:pPr>
      <w:r>
        <w:rPr>
          <w:rtl/>
        </w:rPr>
        <w:t xml:space="preserve">في البحرين الصلح عقد يحسم نزاعاً قائماً أو محتملاً.</w:t>
      </w:r>
      <w:r>
        <w:rPr>
          <w:rtl/>
        </w:rPr>
        <w:t xml:space="preserve"> [3]</w:t>
      </w:r>
      <w:r>
        <w:rPr>
          <w:rtl/>
        </w:rPr>
        <w:t xml:space="preserve"> وفي عُمان يحسم نزاعاً قائماً أو محتملاً فيما يجوز التصالح فيه.</w:t>
      </w:r>
      <w:r>
        <w:rPr>
          <w:rtl/>
        </w:rPr>
        <w:t xml:space="preserve"> [4]</w:t>
      </w:r>
      <w:r>
        <w:rPr>
          <w:rtl/>
        </w:rPr>
        <w:t xml:space="preserve"> ولم يُراجع قانون العمل في البحرين أو قطر أو الكويت أو عُمان في هذه الصفحة.</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290DDAE6-24E1-CBFE-A318-4857A594D928}"/>
    <w:embedBold r:id="rId2" w:fontKey="{F093A116-2178-78CB-66E1-09F51A5AFB9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22 أكتوبر 2026 – ‪https://www.qanu.ai/ar/نماذج/نموذج-مخالصة-نهائية‬</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22 أكتوبر 2026 – ‪https://www.qanu.ai/ar/نماذج/نموذج-مخالصة-نهائية‬</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hvxiltfpllo50ybtklfsq" Type="http://schemas.openxmlformats.org/officeDocument/2006/relationships/hyperlink" Target="https://www.qanu.ai/ar/%D9%85%D8%B3%D8%B1%D8%AF-%D9%82%D8%A7%D9%86%D9%88%D9%86%D9%8A/%D9%85%D9%83%D8%A7%D9%81%D8%A3%D8%A9-%D9%86%D9%87%D8%A7%D9%8A%D8%A9-%D8%A7%D9%84%D8%AE%D8%AF%D9%85%D8%A9" TargetMode="External"/><Relationship Id="rIdvamu87o19tnzb0btge2wz" Type="http://schemas.openxmlformats.org/officeDocument/2006/relationships/hyperlink" Target="https://www.qanu.ai/ar/%D9%85%D8%B3%D8%B1%D8%AF-%D9%82%D8%A7%D9%86%D9%88%D9%86%D9%8A/%D8%B4%D8%B1%D8%B7-%D8%B9%D8%AF%D9%85-%D8%A7%D9%84%D9%85%D9%86%D8%A7%D9%81%D8%B3%D8%A9" TargetMode="External"/><Relationship Id="rIdg7sqnzoodunfxvgeu-ddv" Type="http://schemas.openxmlformats.org/officeDocument/2006/relationships/hyperlink" Target="https://www.qanu.ai/ar/%D9%85%D8%B3%D8%B1%D8%AF-%D9%82%D8%A7%D9%86%D9%88%D9%86%D9%8A/%D9%81%D8%AA%D8%B1%D8%A9-%D8%A7%D9%84%D8%AA%D8%AC%D8%B1%D8%A8%D8%A9" TargetMode="External"/><Relationship Id="rIdnlqymszoxa55gpw_arype" Type="http://schemas.openxmlformats.org/officeDocument/2006/relationships/hyperlink" Target="https://www.qanu.ai/ar/%D9%85%D8%B3%D8%B1%D8%AF-%D9%82%D8%A7%D9%86%D9%88%D9%86%D9%8A/%D8%B5%D9%84%D8%AD"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zqd_-iifn3yybscrflxqx" Type="http://schemas.openxmlformats.org/officeDocument/2006/relationships/hyperlink" Target="https://www.qanu.ai/ar/%D9%86%D9%85%D8%A7%D8%B0%D8%AC/%D9%86%D9%85%D9%88%D8%B0%D8%AC-%D8%B9%D9%82%D8%AF-%D8%B9%D9%85%D9%84" TargetMode="External"/><Relationship Id="rIdkz95tvigbtjruzi_fo58h" Type="http://schemas.openxmlformats.org/officeDocument/2006/relationships/hyperlink" Target="https://www.qanu.ai/ar/%D9%86%D9%85%D8%A7%D8%B0%D8%AC/%D9%86%D9%85%D9%88%D8%B0%D8%AC-%D8%A7%D8%B3%D8%AA%D9%82%D8%A7%D9%84%D8%A9" TargetMode="External"/><Relationship Id="rIdu3w6iqs1vxuevasl-uckq" Type="http://schemas.openxmlformats.org/officeDocument/2006/relationships/hyperlink" Target="https://www.qanu.ai/ar/%D9%86%D9%85%D8%A7%D8%B0%D8%AC/%D9%86%D9%85%D9%88%D8%B0%D8%AC-%D8%B9%D9%82%D8%AF-%D8%B5%D9%84%D8%AD" TargetMode="External"/><Relationship Id="rIdncg6x_vxmhqlgcxviwhuh" Type="http://schemas.openxmlformats.org/officeDocument/2006/relationships/hyperlink" Target="https://laws.boe.gov.sa/BoeLaws/Laws/LawDetails/08381293-6388-48e2-8ad2-a9a700f2aa94/1" TargetMode="External"/><Relationship Id="rIdzbvhsyk_zxbfbxwdnuufk" Type="http://schemas.openxmlformats.org/officeDocument/2006/relationships/hyperlink" Target="https://uaelegislation.gov.ae/ar/legislations/1541" TargetMode="External"/><Relationship Id="rIdlmfpkmplgw86i209bzixw" Type="http://schemas.openxmlformats.org/officeDocument/2006/relationships/hyperlink" Target="https://creativecommons.org/licenses/by/4.0/deed.ar" TargetMode="External"/><Relationship Id="rIdcaxun_uwyvymxtidvui0q" Type="http://schemas.openxmlformats.org/officeDocument/2006/relationships/hyperlink" Target="https://laws.boe.gov.sa/BoeLaws/Laws/LawDetails/08381293-6388-48e2-8ad2-a9a700f2aa94/1" TargetMode="External"/><Relationship Id="rIdwjrauppjf5apzd7ftj71g" Type="http://schemas.openxmlformats.org/officeDocument/2006/relationships/hyperlink" Target="https://uaelegislation.gov.ae/ar/legislations/1541" TargetMode="External"/><Relationship Id="rId0di4wd29-qew4o8bmgptm" Type="http://schemas.openxmlformats.org/officeDocument/2006/relationships/hyperlink" Target="https://www.lloc.gov.bh/Legislation/HTM/L1901" TargetMode="External"/><Relationship Id="rId-d_h4ctfjaqt14zhl3xq6" Type="http://schemas.openxmlformats.org/officeDocument/2006/relationships/hyperlink" Target="https://qanoon.om/p/2013/rd2013029/"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مخالصة نهائية وإبراء ذمة</dc:title>
  <dc:creator>Qanu</dc:creator>
  <cp:keywords>مخالصة نهائية, إبراء ذمة, مكافأة نهاية الخدمة, دول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2026-10-21T21:23:25.132Z</dcterms:created>
  <dcterms:modified xsi:type="dcterms:W3CDTF">2026-10-21T21:23:25.132Z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https://www.qanu.ai/ar/نماذج/نموذج-مخالصة-نهائية</vt:lpwstr>
  </property>
</Properties>
</file>