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11111" w:sz="12" w:space="6"/>
          <w:left w:val="single" w:color="111111" w:sz="12" w:space="6"/>
          <w:bottom w:val="single" w:color="111111" w:sz="12" w:space="6"/>
          <w:right w:val="single" w:color="111111" w:sz="12" w:space="6"/>
        </w:pBdr>
        <w:shd w:fill="FFF4D6" w:color="auto" w:val="clear"/>
        <w:bidi w:val="false"/>
      </w:pPr>
      <w:r>
        <w:rPr>
          <w:b/>
          <w:bCs/>
          <w:rtl w:val="false"/>
        </w:rPr>
        <w:t xml:space="preserve">In Saudi Arabia the worker’s release is signed after the relationship ends, not during it.</w:t>
      </w:r>
      <w:r>
        <w:rPr>
          <w:rtl w:val="false"/>
        </w:rPr>
        <w:t xml:space="preserve"> Any release or settlement of the worker’s rights while the contract is in force is void unless it is more beneficial to the worker.</w:t>
      </w:r>
      <w:r>
        <w:rPr>
          <w:rtl w:val="false"/>
        </w:rPr>
        <w:t xml:space="preserve"> [1]</w:t>
      </w:r>
      <w:r>
        <w:rPr>
          <w:rtl w:val="false"/>
        </w:rPr>
        <w:t xml:space="preserve"> Use this form after the relationship ends. It does not replace the </w:t>
      </w:r>
      <w:hyperlink w:history="1" r:id="rIdlgvoba_vhbaegwt7_zjwj">
        <w:r>
          <w:rPr>
            <w:rStyle w:val="Hyperlink"/>
            <w:rtl w:val="false"/>
          </w:rPr>
          <w:t xml:space="preserve">employment contract</w:t>
        </w:r>
      </w:hyperlink>
      <w:r>
        <w:rPr>
          <w:rtl w:val="false"/>
        </w:rPr>
        <w:t xml:space="preserve"> or the </w:t>
      </w:r>
      <w:hyperlink w:history="1" r:id="rIdz1jnyrcjjbeix4htyxwht">
        <w:r>
          <w:rPr>
            <w:rStyle w:val="Hyperlink"/>
            <w:rtl w:val="false"/>
          </w:rPr>
          <w:t xml:space="preserve">resignation letter</w:t>
        </w:r>
      </w:hyperlink>
      <w:r>
        <w:rPr>
          <w:rtl w:val="false"/>
        </w:rPr>
        <w:t xml:space="preserve">. A commercial or civil dispute that is not an employment relationship uses the </w:t>
      </w:r>
      <w:hyperlink w:history="1" r:id="rIdieslaqnyshidloxhbpjja">
        <w:r>
          <w:rPr>
            <w:rStyle w:val="Hyperlink"/>
            <w:rtl w:val="false"/>
          </w:rPr>
          <w:t xml:space="preserve">settlement agreement</w:t>
        </w:r>
      </w:hyperlink>
      <w:r>
        <w:rPr>
          <w:rtl w:val="false"/>
        </w:rPr>
        <w:t xml:space="preserve">. The UAE deadline for paying end-of-service sums was not verified, so this page does not state one.</w:t>
      </w:r>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Labor Law: </w:t>
      </w:r>
      <w:hyperlink w:history="1" r:id="rId1lixbvavcjcv5kjteg-jv">
        <w:r>
          <w:rPr>
            <w:rStyle w:val="Hyperlink"/>
            <w:sz w:val="17"/>
            <w:szCs w:val="17"/>
          </w:rPr>
          <w:t xml:space="preserve">https://laws.boe.gov.sa/BoeLaws/Laws/LawDetails/08381293-6388-48e2-8ad2-a9a700f2aa94/1</w:t>
        </w:r>
      </w:hyperlink>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UAE labour decree-law: </w:t>
      </w:r>
      <w:hyperlink w:history="1" r:id="rIdvd2nrjkbugm6lgnewir1-">
        <w:r>
          <w:rPr>
            <w:rStyle w:val="Hyperlink"/>
            <w:sz w:val="17"/>
            <w:szCs w:val="17"/>
          </w:rPr>
          <w:t xml:space="preserve">https://uaelegislation.gov.ae/ar/legislations/1541</w:t>
        </w:r>
      </w:hyperlink>
    </w:p>
    <w:p>
      <w:pPr>
        <w:bidi w:val="false"/>
        <w:spacing w:after="240"/>
      </w:pPr>
    </w:p>
    <w:p>
      <w:pPr>
        <w:pStyle w:val="Title"/>
        <w:bidi w:val="false"/>
      </w:pPr>
      <w:r>
        <w:rPr>
          <w:rtl w:val="false"/>
        </w:rPr>
        <w:t xml:space="preserve">Final settlement and release</w:t>
      </w:r>
    </w:p>
    <w:p>
      <w:pPr>
        <w:bidi w:val="false"/>
        <w:spacing w:after="240"/>
      </w:pPr>
      <w:r>
        <w:rPr>
          <w:color w:val="444444"/>
          <w:rtl w:val="false"/>
        </w:rPr>
        <w:t xml:space="preserve">A release between a worker and an employer after the relationship has ended, or between two companies or with a contractor if clause 11 is kept. In Saudi Arabia do not sign the worker’s release while the contract is still in force. Replace every </w:t>
      </w:r>
      <w:r>
        <w:rPr>
          <w:color w:val="444444"/>
          <w:highlight w:val="yellow"/>
          <w:rtl w:val="false"/>
        </w:rPr>
        <w:t xml:space="preserve">[</w:t>
      </w:r>
      <w:r>
        <w:rPr>
          <w:color w:val="444444"/>
          <w:highlight w:val="yellow"/>
          <w:rtl w:val="false"/>
        </w:rPr>
        <w:t xml:space="preserve">bracket</w:t>
      </w:r>
      <w:r>
        <w:rPr>
          <w:color w:val="444444"/>
          <w:highlight w:val="yellow"/>
          <w:rtl w:val="false"/>
        </w:rPr>
        <w:t xml:space="preserve">]</w:t>
      </w:r>
      <w:r>
        <w:rPr>
          <w:color w:val="444444"/>
          <w:rtl w:val="false"/>
        </w:rPr>
        <w:t xml:space="preserve">. This is a starting point. Have it reviewed by a lawyer licensed in the relevant jurisdiction before you use it.</w:t>
      </w:r>
    </w:p>
    <w:p>
      <w:pPr>
        <w:pStyle w:val="Heading1"/>
        <w:bidi w:val="false"/>
      </w:pPr>
      <w:r>
        <w:rPr>
          <w:rtl w:val="false"/>
        </w:rPr>
        <w:t xml:space="preserve">Clause 1: The parties</w:t>
      </w:r>
    </w:p>
    <w:p>
      <w:pPr>
        <w:bidi w:val="false"/>
      </w:pPr>
      <w:r>
        <w:rPr>
          <w:rtl w:val="false"/>
        </w:rPr>
        <w:t xml:space="preserve">This release is made on </w:t>
      </w:r>
      <w:r>
        <w:rPr>
          <w:highlight w:val="yellow"/>
          <w:rtl w:val="false"/>
        </w:rPr>
        <w:t xml:space="preserve">[</w:t>
      </w:r>
      <w:r>
        <w:rPr>
          <w:highlight w:val="yellow"/>
          <w:rtl w:val="false"/>
        </w:rPr>
        <w:t xml:space="preserve">date</w:t>
      </w:r>
      <w:r>
        <w:rPr>
          <w:highlight w:val="yellow"/>
          <w:rtl w:val="false"/>
        </w:rPr>
        <w:t xml:space="preserve">]</w:t>
      </w:r>
      <w:r>
        <w:rPr>
          <w:rtl w:val="false"/>
        </w:rPr>
        <w:t xml:space="preserve"> between </w:t>
      </w:r>
      <w:r>
        <w:rPr>
          <w:highlight w:val="yellow"/>
          <w:rtl w:val="false"/>
        </w:rPr>
        <w:t xml:space="preserve">[</w:t>
      </w:r>
      <w:r>
        <w:rPr>
          <w:highlight w:val="yellow"/>
          <w:rtl w:val="false"/>
        </w:rPr>
        <w:t xml:space="preserve">the employer</w:t>
      </w:r>
      <w:r>
        <w:rPr>
          <w:highlight w:val="yellow"/>
          <w:rtl w:val="false"/>
        </w:rPr>
        <w:t xml:space="preserve">]</w:t>
      </w:r>
      <w:r>
        <w:rPr>
          <w:rtl w:val="false"/>
        </w:rPr>
        <w:t xml:space="preserve">, commercial registration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of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(the “Employer”) and </w:t>
      </w:r>
      <w:r>
        <w:rPr>
          <w:highlight w:val="yellow"/>
          <w:rtl w:val="false"/>
        </w:rPr>
        <w:t xml:space="preserve">[</w:t>
      </w:r>
      <w:r>
        <w:rPr>
          <w:highlight w:val="yellow"/>
          <w:rtl w:val="false"/>
        </w:rPr>
        <w:t xml:space="preserve">the worker</w:t>
      </w:r>
      <w:r>
        <w:rPr>
          <w:highlight w:val="yellow"/>
          <w:rtl w:val="false"/>
        </w:rPr>
        <w:t xml:space="preserve">]</w:t>
      </w:r>
      <w:r>
        <w:rPr>
          <w:rtl w:val="false"/>
        </w:rPr>
        <w:t xml:space="preserve">, identity / residence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of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(the “Worker”).</w:t>
      </w:r>
    </w:p>
    <w:p>
      <w:pPr>
        <w:pStyle w:val="Heading1"/>
        <w:bidi w:val="false"/>
      </w:pPr>
      <w:commentRangeStart w:id="0"/>
      <w:r>
        <w:rPr>
          <w:rtl w:val="false"/>
        </w:rPr>
        <w:t xml:space="preserve">Clause 2: The relationship and why it ended</w:t>
      </w:r>
      <w:commentRangeEnd w:id="0"/>
      <w:r>
        <w:rPr>
          <w:rtl w:val="false"/>
        </w:rPr>
        <w:commentReference w:id="0"/>
      </w:r>
    </w:p>
    <w:p>
      <w:pPr>
        <w:bidi w:val="false"/>
      </w:pPr>
      <w:r>
        <w:rPr>
          <w:rtl w:val="false"/>
        </w:rPr>
        <w:t xml:space="preserve">The relationship began on </w:t>
      </w:r>
      <w:r>
        <w:rPr>
          <w:highlight w:val="yellow"/>
          <w:rtl w:val="false"/>
        </w:rPr>
        <w:t xml:space="preserve">[</w:t>
      </w:r>
      <w:r>
        <w:rPr>
          <w:highlight w:val="yellow"/>
          <w:rtl w:val="false"/>
        </w:rPr>
        <w:t xml:space="preserve">date</w:t>
      </w:r>
      <w:r>
        <w:rPr>
          <w:highlight w:val="yellow"/>
          <w:rtl w:val="false"/>
        </w:rPr>
        <w:t xml:space="preserve">]</w:t>
      </w:r>
      <w:r>
        <w:rPr>
          <w:rtl w:val="false"/>
        </w:rPr>
        <w:t xml:space="preserve"> and ended on </w:t>
      </w:r>
      <w:r>
        <w:rPr>
          <w:highlight w:val="yellow"/>
          <w:rtl w:val="false"/>
        </w:rPr>
        <w:t xml:space="preserve">[</w:t>
      </w:r>
      <w:r>
        <w:rPr>
          <w:highlight w:val="yellow"/>
          <w:rtl w:val="false"/>
        </w:rPr>
        <w:t xml:space="preserve">date</w:t>
      </w:r>
      <w:r>
        <w:rPr>
          <w:highlight w:val="yellow"/>
          <w:rtl w:val="false"/>
        </w:rPr>
        <w:t xml:space="preserve">]</w:t>
      </w:r>
      <w:r>
        <w:rPr>
          <w:rtl w:val="false"/>
        </w:rPr>
        <w:t xml:space="preserve"> because </w:t>
      </w:r>
      <w:r>
        <w:rPr>
          <w:highlight w:val="yellow"/>
          <w:rtl w:val="false"/>
        </w:rPr>
        <w:t xml:space="preserve">[</w:t>
      </w:r>
      <w:r>
        <w:rPr>
          <w:highlight w:val="yellow"/>
          <w:rtl w:val="false"/>
        </w:rPr>
        <w:t xml:space="preserve">expiry / resignation / termination by the employer / agreement</w:t>
      </w:r>
      <w:r>
        <w:rPr>
          <w:highlight w:val="yellow"/>
          <w:rtl w:val="false"/>
        </w:rPr>
        <w:t xml:space="preserve">]</w:t>
      </w:r>
      <w:r>
        <w:rPr>
          <w:rtl w:val="false"/>
        </w:rPr>
        <w:t xml:space="preserve">.</w:t>
      </w:r>
    </w:p>
    <w:p>
      <w:pPr>
        <w:pStyle w:val="Heading1"/>
        <w:bidi w:val="false"/>
      </w:pPr>
      <w:commentRangeStart w:id="1"/>
      <w:r>
        <w:rPr>
          <w:rtl w:val="false"/>
        </w:rPr>
        <w:t xml:space="preserve">Clause 3: Sums received</w:t>
      </w:r>
      <w:commentRangeEnd w:id="1"/>
      <w:r>
        <w:rPr>
          <w:rtl w:val="false"/>
        </w:rPr>
        <w:commentReference w:id="1"/>
      </w:r>
    </w:p>
    <w:p>
      <w:pPr>
        <w:bidi w:val="false"/>
      </w:pPr>
      <w:r>
        <w:rPr>
          <w:rtl w:val="false"/>
        </w:rPr>
        <w:t xml:space="preserve">The Worker has received the sums in Annex 1: wage through the last day, leave pay, the end-of-service award, allowances and commission, and a return ticket if there is one.</w:t>
      </w:r>
    </w:p>
    <w:p>
      <w:pPr>
        <w:pStyle w:val="Heading1"/>
        <w:bidi w:val="false"/>
      </w:pPr>
      <w:commentRangeStart w:id="2"/>
      <w:r>
        <w:rPr>
          <w:rtl w:val="false"/>
        </w:rPr>
        <w:t xml:space="preserve">Clause 4: Deductions</w:t>
      </w:r>
      <w:commentRangeEnd w:id="2"/>
      <w:r>
        <w:rPr>
          <w:rtl w:val="false"/>
        </w:rPr>
        <w:commentReference w:id="2"/>
      </w:r>
    </w:p>
    <w:p>
      <w:pPr>
        <w:bidi w:val="false"/>
      </w:pPr>
      <w:r>
        <w:rPr>
          <w:highlight w:val="yellow"/>
          <w:rtl w:val="false"/>
        </w:rPr>
        <w:t xml:space="preserve">[</w:t>
      </w:r>
      <w:r>
        <w:rPr>
          <w:highlight w:val="yellow"/>
          <w:rtl w:val="false"/>
        </w:rPr>
        <w:t xml:space="preserve">Amount</w:t>
      </w:r>
      <w:r>
        <w:rPr>
          <w:highlight w:val="yellow"/>
          <w:rtl w:val="false"/>
        </w:rPr>
        <w:t xml:space="preserve">]</w:t>
      </w:r>
      <w:r>
        <w:rPr>
          <w:rtl w:val="false"/>
        </w:rPr>
        <w:t xml:space="preserve"> is deducted for </w:t>
      </w:r>
      <w:r>
        <w:rPr>
          <w:highlight w:val="yellow"/>
          <w:rtl w:val="false"/>
        </w:rPr>
        <w:t xml:space="preserve">[</w:t>
      </w:r>
      <w:r>
        <w:rPr>
          <w:highlight w:val="yellow"/>
          <w:rtl w:val="false"/>
        </w:rPr>
        <w:t xml:space="preserve">a debt arising from the work</w:t>
      </w:r>
      <w:r>
        <w:rPr>
          <w:highlight w:val="yellow"/>
          <w:rtl w:val="false"/>
        </w:rPr>
        <w:t xml:space="preserve">]</w:t>
      </w:r>
      <w:r>
        <w:rPr>
          <w:rtl w:val="false"/>
        </w:rPr>
        <w:t xml:space="preserve">. The basis is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A deduction without a basis is not made.</w:t>
      </w:r>
    </w:p>
    <w:p>
      <w:pPr>
        <w:pStyle w:val="Heading1"/>
        <w:bidi w:val="false"/>
      </w:pPr>
      <w:r>
        <w:rPr>
          <w:rtl w:val="false"/>
        </w:rPr>
        <w:t xml:space="preserve">Clause 5: Receipt and how it was paid</w:t>
      </w:r>
    </w:p>
    <w:p>
      <w:pPr>
        <w:bidi w:val="false"/>
      </w:pPr>
      <w:r>
        <w:rPr>
          <w:rtl w:val="false"/>
        </w:rPr>
        <w:t xml:space="preserve">The Worker acknowledges receipt of the net sum of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by </w:t>
      </w:r>
      <w:r>
        <w:rPr>
          <w:highlight w:val="yellow"/>
          <w:rtl w:val="false"/>
        </w:rPr>
        <w:t xml:space="preserve">[</w:t>
      </w:r>
      <w:r>
        <w:rPr>
          <w:highlight w:val="yellow"/>
          <w:rtl w:val="false"/>
        </w:rPr>
        <w:t xml:space="preserve">transfer to account ● / the wage-protection system</w:t>
      </w:r>
      <w:r>
        <w:rPr>
          <w:highlight w:val="yellow"/>
          <w:rtl w:val="false"/>
        </w:rPr>
        <w:t xml:space="preserve">]</w:t>
      </w:r>
      <w:r>
        <w:rPr>
          <w:rtl w:val="false"/>
        </w:rPr>
        <w:t xml:space="preserve"> on </w:t>
      </w:r>
      <w:r>
        <w:rPr>
          <w:highlight w:val="yellow"/>
          <w:rtl w:val="false"/>
        </w:rPr>
        <w:t xml:space="preserve">[</w:t>
      </w:r>
      <w:r>
        <w:rPr>
          <w:highlight w:val="yellow"/>
          <w:rtl w:val="false"/>
        </w:rPr>
        <w:t xml:space="preserve">date</w:t>
      </w:r>
      <w:r>
        <w:rPr>
          <w:highlight w:val="yellow"/>
          <w:rtl w:val="false"/>
        </w:rPr>
        <w:t xml:space="preserve">]</w:t>
      </w:r>
      <w:r>
        <w:rPr>
          <w:rtl w:val="false"/>
        </w:rPr>
        <w:t xml:space="preserve">.</w:t>
      </w:r>
    </w:p>
    <w:p>
      <w:pPr>
        <w:pStyle w:val="Heading1"/>
        <w:bidi w:val="false"/>
      </w:pPr>
      <w:commentRangeStart w:id="3"/>
      <w:r>
        <w:rPr>
          <w:rtl w:val="false"/>
        </w:rPr>
        <w:t xml:space="preserve">Clause 6: Release</w:t>
      </w:r>
      <w:commentRangeEnd w:id="3"/>
      <w:r>
        <w:rPr>
          <w:rtl w:val="false"/>
        </w:rPr>
        <w:commentReference w:id="3"/>
      </w:r>
    </w:p>
    <w:p>
      <w:pPr>
        <w:bidi w:val="false"/>
      </w:pPr>
      <w:r>
        <w:rPr>
          <w:rtl w:val="false"/>
        </w:rPr>
        <w:t xml:space="preserve">The Worker releases the Employer from claims arising out of this relationship up to the end date, once the Annex 1 sums are received. The release does not cover a right that cannot be waived.</w:t>
      </w:r>
    </w:p>
    <w:p>
      <w:pPr>
        <w:pStyle w:val="Heading1"/>
        <w:bidi w:val="false"/>
      </w:pPr>
      <w:commentRangeStart w:id="4"/>
      <w:r>
        <w:rPr>
          <w:rtl w:val="false"/>
        </w:rPr>
        <w:t xml:space="preserve">Clause 7: Property and the service certificate</w:t>
      </w:r>
      <w:commentRangeEnd w:id="4"/>
      <w:r>
        <w:rPr>
          <w:rtl w:val="false"/>
        </w:rPr>
        <w:commentReference w:id="4"/>
      </w:r>
    </w:p>
    <w:p>
      <w:pPr>
        <w:bidi w:val="false"/>
      </w:pPr>
      <w:r>
        <w:rPr>
          <w:rtl w:val="false"/>
        </w:rPr>
        <w:t xml:space="preserve">The Worker has returned: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The Employer will issue a service certificate on request, at no charge.</w:t>
      </w:r>
    </w:p>
    <w:p>
      <w:pPr>
        <w:pStyle w:val="Heading1"/>
        <w:bidi w:val="false"/>
      </w:pPr>
      <w:commentRangeStart w:id="5"/>
      <w:r>
        <w:rPr>
          <w:rtl w:val="false"/>
        </w:rPr>
        <w:t xml:space="preserve">Clause 8: What survives</w:t>
      </w:r>
      <w:commentRangeEnd w:id="5"/>
      <w:r>
        <w:rPr>
          <w:rtl w:val="false"/>
        </w:rPr>
        <w:commentReference w:id="5"/>
      </w:r>
    </w:p>
    <w:p>
      <w:pPr>
        <w:bidi w:val="false"/>
      </w:pPr>
      <w:r>
        <w:rPr>
          <w:rtl w:val="false"/>
        </w:rPr>
        <w:t xml:space="preserve">Confidentiality continues for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A non-compete, if the contract has one and it is written and limited: </w:t>
      </w:r>
      <w:r>
        <w:rPr>
          <w:highlight w:val="yellow"/>
          <w:rtl w:val="false"/>
        </w:rPr>
        <w:t xml:space="preserve">[</w:t>
      </w:r>
      <w:r>
        <w:rPr>
          <w:highlight w:val="yellow"/>
          <w:rtl w:val="false"/>
        </w:rPr>
        <w:t xml:space="preserve">survives / delete</w:t>
      </w:r>
      <w:r>
        <w:rPr>
          <w:highlight w:val="yellow"/>
          <w:rtl w:val="false"/>
        </w:rPr>
        <w:t xml:space="preserve">]</w:t>
      </w:r>
      <w:r>
        <w:rPr>
          <w:rtl w:val="false"/>
        </w:rPr>
        <w:t xml:space="preserve">.</w:t>
      </w:r>
    </w:p>
    <w:p>
      <w:pPr>
        <w:pStyle w:val="Heading1"/>
        <w:bidi w:val="false"/>
      </w:pPr>
      <w:commentRangeStart w:id="6"/>
      <w:r>
        <w:rPr>
          <w:rtl w:val="false"/>
        </w:rPr>
        <w:t xml:space="preserve">Clause 9: Governing law and forum</w:t>
      </w:r>
      <w:commentRangeEnd w:id="6"/>
      <w:r>
        <w:rPr>
          <w:rtl w:val="false"/>
        </w:rPr>
        <w:commentReference w:id="6"/>
      </w:r>
    </w:p>
    <w:p>
      <w:pPr>
        <w:bidi w:val="false"/>
      </w:pPr>
      <w:r>
        <w:rPr>
          <w:rtl w:val="false"/>
        </w:rPr>
        <w:t xml:space="preserve">This release is governed by </w:t>
      </w:r>
      <w:r>
        <w:rPr>
          <w:highlight w:val="yellow"/>
          <w:rtl w:val="false"/>
        </w:rPr>
        <w:t xml:space="preserve">[</w:t>
      </w:r>
      <w:r>
        <w:rPr>
          <w:highlight w:val="yellow"/>
          <w:rtl w:val="false"/>
        </w:rPr>
        <w:t xml:space="preserve">the Saudi Labor Law / UAE Federal Decree-Law No. 33 of 2021 / ●</w:t>
      </w:r>
      <w:r>
        <w:rPr>
          <w:highlight w:val="yellow"/>
          <w:rtl w:val="false"/>
        </w:rPr>
        <w:t xml:space="preserve">]</w:t>
      </w:r>
      <w:r>
        <w:rPr>
          <w:rtl w:val="false"/>
        </w:rPr>
        <w:t xml:space="preserve">. A dispute goes to </w:t>
      </w:r>
      <w:r>
        <w:rPr>
          <w:highlight w:val="yellow"/>
          <w:rtl w:val="false"/>
        </w:rPr>
        <w:t xml:space="preserve">[</w:t>
      </w:r>
      <w:r>
        <w:rPr>
          <w:highlight w:val="yellow"/>
          <w:rtl w:val="false"/>
        </w:rPr>
        <w:t xml:space="preserve">●</w:t>
      </w:r>
      <w:r>
        <w:rPr>
          <w:highlight w:val="yellow"/>
          <w:rtl w:val="false"/>
        </w:rPr>
        <w:t xml:space="preserve">]</w:t>
      </w:r>
      <w:r>
        <w:rPr>
          <w:rtl w:val="false"/>
        </w:rPr>
        <w:t xml:space="preserve">.</w:t>
      </w:r>
    </w:p>
    <w:p>
      <w:pPr>
        <w:pStyle w:val="Heading1"/>
        <w:bidi w:val="false"/>
      </w:pPr>
      <w:r>
        <w:rPr>
          <w:rtl w:val="false"/>
        </w:rPr>
        <w:t xml:space="preserve">Clause 10: Signatures</w:t>
      </w:r>
    </w:p>
    <w:p>
      <w:pPr>
        <w:pBdr>
          <w:top w:val="single" w:color="888888" w:sz="6" w:space="6"/>
          <w:left w:val="single" w:color="888888" w:sz="6" w:space="6"/>
          <w:bottom w:val="single" w:color="888888" w:sz="6" w:space="6"/>
          <w:right w:val="single" w:color="888888" w:sz="6" w:space="6"/>
        </w:pBdr>
        <w:bidi w:val="false"/>
        <w:spacing w:after="120"/>
      </w:pPr>
      <w:r>
        <w:rPr>
          <w:b/>
          <w:bCs/>
          <w:rtl w:val="false"/>
        </w:rPr>
        <w:t xml:space="preserve">Employer:</w:t>
      </w:r>
      <w:r>
        <w:rPr>
          <w:rtl w:val="false"/>
        </w:rPr>
        <w:t xml:space="preserve"> name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signature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date </w:t>
      </w:r>
      <w:r>
        <w:rPr>
          <w:highlight w:val="yellow"/>
          <w:rtl w:val="false"/>
        </w:rPr>
        <w:t xml:space="preserve">[</w:t>
      </w:r>
      <w:r>
        <w:rPr>
          <w:highlight w:val="yellow"/>
          <w:rtl w:val="false"/>
        </w:rPr>
        <w:t xml:space="preserve">●</w:t>
      </w:r>
      <w:r>
        <w:rPr>
          <w:highlight w:val="yellow"/>
          <w:rtl w:val="false"/>
        </w:rPr>
        <w:t xml:space="preserve">]</w:t>
      </w:r>
    </w:p>
    <w:p>
      <w:pPr>
        <w:pBdr>
          <w:top w:val="single" w:color="888888" w:sz="6" w:space="6"/>
          <w:left w:val="single" w:color="888888" w:sz="6" w:space="6"/>
          <w:bottom w:val="single" w:color="888888" w:sz="6" w:space="6"/>
          <w:right w:val="single" w:color="888888" w:sz="6" w:space="6"/>
        </w:pBdr>
        <w:bidi w:val="false"/>
        <w:spacing w:after="120"/>
      </w:pPr>
      <w:r>
        <w:rPr>
          <w:b/>
          <w:bCs/>
          <w:rtl w:val="false"/>
        </w:rPr>
        <w:t xml:space="preserve">Worker:</w:t>
      </w:r>
      <w:r>
        <w:rPr>
          <w:rtl w:val="false"/>
        </w:rPr>
        <w:t xml:space="preserve"> name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signature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date </w:t>
      </w:r>
      <w:r>
        <w:rPr>
          <w:highlight w:val="yellow"/>
          <w:rtl w:val="false"/>
        </w:rPr>
        <w:t xml:space="preserve">[</w:t>
      </w:r>
      <w:r>
        <w:rPr>
          <w:highlight w:val="yellow"/>
          <w:rtl w:val="false"/>
        </w:rPr>
        <w:t xml:space="preserve">●</w:t>
      </w:r>
      <w:r>
        <w:rPr>
          <w:highlight w:val="yellow"/>
          <w:rtl w:val="false"/>
        </w:rPr>
        <w:t xml:space="preserve">]</w:t>
      </w:r>
    </w:p>
    <w:p>
      <w:pPr>
        <w:pBdr>
          <w:top w:val="single" w:color="888888" w:sz="6" w:space="6"/>
          <w:left w:val="single" w:color="888888" w:sz="6" w:space="6"/>
          <w:bottom w:val="single" w:color="888888" w:sz="6" w:space="6"/>
          <w:right w:val="single" w:color="888888" w:sz="6" w:space="6"/>
        </w:pBdr>
        <w:bidi w:val="false"/>
        <w:spacing w:after="120"/>
      </w:pPr>
      <w:r>
        <w:rPr>
          <w:b/>
          <w:bCs/>
          <w:rtl w:val="false"/>
        </w:rPr>
        <w:t xml:space="preserve">Witness 1:</w:t>
      </w:r>
      <w:r>
        <w:rPr>
          <w:rtl w:val="false"/>
        </w:rPr>
        <w:t xml:space="preserv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w:t>
      </w:r>
      <w:r>
        <w:rPr>
          <w:b/>
          <w:bCs/>
          <w:rtl w:val="false"/>
        </w:rPr>
        <w:t xml:space="preserve">Witness 2:</w:t>
      </w:r>
      <w:r>
        <w:rPr>
          <w:rtl w:val="false"/>
        </w:rPr>
        <w:t xml:space="preserve"> </w:t>
      </w:r>
      <w:r>
        <w:rPr>
          <w:highlight w:val="yellow"/>
          <w:rtl w:val="false"/>
        </w:rPr>
        <w:t xml:space="preserve">[</w:t>
      </w:r>
      <w:r>
        <w:rPr>
          <w:highlight w:val="yellow"/>
          <w:rtl w:val="false"/>
        </w:rPr>
        <w:t xml:space="preserve">●</w:t>
      </w:r>
      <w:r>
        <w:rPr>
          <w:highlight w:val="yellow"/>
          <w:rtl w:val="false"/>
        </w:rPr>
        <w:t xml:space="preserve">]</w:t>
      </w:r>
    </w:p>
    <w:p>
      <w:pPr>
        <w:pStyle w:val="Heading1"/>
        <w:bidi w:val="false"/>
      </w:pPr>
      <w:commentRangeStart w:id="7"/>
      <w:r>
        <w:rPr>
          <w:rtl w:val="false"/>
        </w:rPr>
        <w:t xml:space="preserve">Clause 11: Commercial version (delete this for a worker’s release)</w:t>
      </w:r>
      <w:commentRangeEnd w:id="7"/>
      <w:r>
        <w:rPr>
          <w:rtl w:val="false"/>
        </w:rPr>
        <w:commentReference w:id="7"/>
      </w:r>
    </w:p>
    <w:p>
      <w:pPr>
        <w:bidi w:val="false"/>
      </w:pPr>
      <w:r>
        <w:rPr>
          <w:rtl w:val="false"/>
        </w:rPr>
        <w:t xml:space="preserve">Between </w:t>
      </w:r>
      <w:r>
        <w:rPr>
          <w:highlight w:val="yellow"/>
          <w:rtl w:val="false"/>
        </w:rPr>
        <w:t xml:space="preserve">[</w:t>
      </w:r>
      <w:r>
        <w:rPr>
          <w:highlight w:val="yellow"/>
          <w:rtl w:val="false"/>
        </w:rPr>
        <w:t xml:space="preserve">company A</w:t>
      </w:r>
      <w:r>
        <w:rPr>
          <w:highlight w:val="yellow"/>
          <w:rtl w:val="false"/>
        </w:rPr>
        <w:t xml:space="preserve">]</w:t>
      </w:r>
      <w:r>
        <w:rPr>
          <w:rtl w:val="false"/>
        </w:rPr>
        <w:t xml:space="preserve">, registration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and </w:t>
      </w:r>
      <w:r>
        <w:rPr>
          <w:highlight w:val="yellow"/>
          <w:rtl w:val="false"/>
        </w:rPr>
        <w:t xml:space="preserve">[</w:t>
      </w:r>
      <w:r>
        <w:rPr>
          <w:highlight w:val="yellow"/>
          <w:rtl w:val="false"/>
        </w:rPr>
        <w:t xml:space="preserve">company B or the contractor</w:t>
      </w:r>
      <w:r>
        <w:rPr>
          <w:highlight w:val="yellow"/>
          <w:rtl w:val="false"/>
        </w:rPr>
        <w:t xml:space="preserve">]</w:t>
      </w:r>
      <w:r>
        <w:rPr>
          <w:rtl w:val="false"/>
        </w:rPr>
        <w:t xml:space="preserve">, registration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Settled balance: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Work handed over: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Each party releases the other for this balance and this work, not for another contract.</w:t>
      </w:r>
    </w:p>
    <w:p>
      <w:pPr>
        <w:pStyle w:val="Heading1"/>
        <w:pageBreakBefore/>
        <w:bidi w:val="false"/>
      </w:pPr>
      <w:r>
        <w:rPr>
          <w:rtl w:val="false"/>
        </w:rPr>
        <w:t xml:space="preserve">Notes for Saudi Arabia</w:t>
      </w:r>
    </w:p>
    <w:p>
      <w:pPr>
        <w:bidi w:val="false"/>
      </w:pPr>
      <w:r>
        <w:rPr>
          <w:rtl w:val="false"/>
        </w:rPr>
        <w:t xml:space="preserve">The Labor Law. The release is signed after the relationship ends.</w:t>
      </w:r>
      <w:r>
        <w:rPr>
          <w:rtl w:val="false"/>
        </w:rPr>
        <w:t xml:space="preserve"> [1]</w:t>
      </w:r>
    </w:p>
    <w:tbl>
      <w:tblPr>
        <w:bidiVisual w:val="off"/>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val="false"/>
              <w:spacing w:after="0"/>
            </w:pPr>
            <w:r>
              <w:rPr>
                <w:b/>
                <w:bCs/>
                <w:sz w:val="18"/>
                <w:szCs w:val="18"/>
                <w:rtl w:val="false"/>
              </w:rPr>
              <w:t xml:space="preserve">Point</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Text</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During the contract</w:t>
            </w:r>
          </w:p>
        </w:tc>
        <w:tc>
          <w:tcPr>
            <w:tcMar>
              <w:top w:type="dxa" w:w="80"/>
              <w:left w:type="dxa" w:w="100"/>
              <w:bottom w:type="dxa" w:w="80"/>
              <w:right w:type="dxa" w:w="100"/>
            </w:tcMar>
          </w:tcPr>
          <w:p>
            <w:pPr>
              <w:bidi w:val="false"/>
              <w:spacing w:after="0"/>
            </w:pPr>
            <w:r>
              <w:rPr>
                <w:b w:val="false"/>
                <w:sz w:val="18"/>
                <w:szCs w:val="18"/>
                <w:rtl w:val="false"/>
              </w:rPr>
              <w:t xml:space="preserve">Any release or settlement of the worker’s rights while the contract is in force is void unless it is more beneficial to the worker (Article 8).</w:t>
            </w:r>
            <w:r>
              <w:rPr>
                <w:b w:val="false"/>
                <w:sz w:val="18"/>
                <w:szCs w:val="18"/>
                <w:rtl w:val="false"/>
              </w:rPr>
              <w:t xml:space="preserve"> [1]</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Time</w:t>
            </w:r>
          </w:p>
        </w:tc>
        <w:tc>
          <w:tcPr>
            <w:tcMar>
              <w:top w:type="dxa" w:w="80"/>
              <w:left w:type="dxa" w:w="100"/>
              <w:bottom w:type="dxa" w:w="80"/>
              <w:right w:type="dxa" w:w="100"/>
            </w:tcMar>
          </w:tcPr>
          <w:p>
            <w:pPr>
              <w:bidi w:val="false"/>
              <w:spacing w:after="0"/>
            </w:pPr>
            <w:r>
              <w:rPr>
                <w:b w:val="false"/>
                <w:sz w:val="18"/>
                <w:szCs w:val="18"/>
                <w:rtl w:val="false"/>
              </w:rPr>
              <w:t xml:space="preserve">Rights are settled within one week at most, and within two weeks if the worker ended the contract (Article 88).</w:t>
            </w:r>
            <w:r>
              <w:rPr>
                <w:b w:val="false"/>
                <w:sz w:val="18"/>
                <w:szCs w:val="18"/>
                <w:rtl w:val="false"/>
              </w:rPr>
              <w:t xml:space="preserve"> [1]</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Award</w:t>
            </w:r>
          </w:p>
        </w:tc>
        <w:tc>
          <w:tcPr>
            <w:tcMar>
              <w:top w:type="dxa" w:w="80"/>
              <w:left w:type="dxa" w:w="100"/>
              <w:bottom w:type="dxa" w:w="80"/>
              <w:right w:type="dxa" w:w="100"/>
            </w:tcMar>
          </w:tcPr>
          <w:p>
            <w:pPr>
              <w:bidi w:val="false"/>
              <w:spacing w:after="0"/>
            </w:pPr>
            <w:r>
              <w:rPr>
                <w:b w:val="false"/>
                <w:sz w:val="18"/>
                <w:szCs w:val="18"/>
                <w:rtl w:val="false"/>
              </w:rPr>
              <w:t xml:space="preserve">Half a month’s wage for each of the first five years, and one month’s wage for each year after (Article 84).</w:t>
            </w:r>
            <w:r>
              <w:rPr>
                <w:b w:val="false"/>
                <w:sz w:val="18"/>
                <w:szCs w:val="18"/>
                <w:rtl w:val="false"/>
              </w:rPr>
              <w:t xml:space="preserve"> [1]</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Hearing the claim</w:t>
            </w:r>
          </w:p>
        </w:tc>
        <w:tc>
          <w:tcPr>
            <w:tcMar>
              <w:top w:type="dxa" w:w="80"/>
              <w:left w:type="dxa" w:w="100"/>
              <w:bottom w:type="dxa" w:w="80"/>
              <w:right w:type="dxa" w:w="100"/>
            </w:tcMar>
          </w:tcPr>
          <w:p>
            <w:pPr>
              <w:bidi w:val="false"/>
              <w:spacing w:after="0"/>
            </w:pPr>
            <w:r>
              <w:rPr>
                <w:b w:val="false"/>
                <w:sz w:val="18"/>
                <w:szCs w:val="18"/>
                <w:rtl w:val="false"/>
              </w:rPr>
              <w:t xml:space="preserve">The claim is not heard after twelve months from the end of the relationship (Article 222).</w:t>
            </w:r>
            <w:r>
              <w:rPr>
                <w:b w:val="false"/>
                <w:sz w:val="18"/>
                <w:szCs w:val="18"/>
                <w:rtl w:val="false"/>
              </w:rPr>
              <w:t xml:space="preserve"> [1]</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Certificate</w:t>
            </w:r>
          </w:p>
        </w:tc>
        <w:tc>
          <w:tcPr>
            <w:tcMar>
              <w:top w:type="dxa" w:w="80"/>
              <w:left w:type="dxa" w:w="100"/>
              <w:bottom w:type="dxa" w:w="80"/>
              <w:right w:type="dxa" w:w="100"/>
            </w:tcMar>
          </w:tcPr>
          <w:p>
            <w:pPr>
              <w:bidi w:val="false"/>
              <w:spacing w:after="0"/>
            </w:pPr>
            <w:r>
              <w:rPr>
                <w:b w:val="false"/>
                <w:sz w:val="18"/>
                <w:szCs w:val="18"/>
                <w:rtl w:val="false"/>
              </w:rPr>
              <w:t xml:space="preserve">The service certificate is free on request (Article 64).</w:t>
            </w:r>
            <w:r>
              <w:rPr>
                <w:b w:val="false"/>
                <w:sz w:val="18"/>
                <w:szCs w:val="18"/>
                <w:rtl w:val="false"/>
              </w:rPr>
              <w:t xml:space="preserve"> [1]</w:t>
            </w:r>
          </w:p>
        </w:tc>
      </w:tr>
    </w:tbl>
    <w:p>
      <w:pPr>
        <w:bidi w:val="false"/>
      </w:pPr>
    </w:p>
    <w:p>
      <w:pPr>
        <w:pStyle w:val="Heading1"/>
        <w:pageBreakBefore/>
        <w:bidi w:val="false"/>
      </w:pPr>
      <w:r>
        <w:rPr>
          <w:rtl w:val="false"/>
        </w:rPr>
        <w:t xml:space="preserve">Notes for the United Arab Emirates</w:t>
      </w:r>
    </w:p>
    <w:p>
      <w:pPr>
        <w:bidi w:val="false"/>
      </w:pPr>
      <w:r>
        <w:rPr>
          <w:rtl w:val="false"/>
        </w:rPr>
        <w:t xml:space="preserve">Federal Decree-Law No. 33 of 2021. The deadline for paying sums after the relationship ends was not verified, so it is not stated.</w:t>
      </w:r>
      <w:r>
        <w:rPr>
          <w:rtl w:val="false"/>
        </w:rPr>
        <w:t xml:space="preserve"> [2]</w:t>
      </w:r>
    </w:p>
    <w:tbl>
      <w:tblPr>
        <w:bidiVisual w:val="off"/>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val="false"/>
              <w:spacing w:after="0"/>
            </w:pPr>
            <w:r>
              <w:rPr>
                <w:b/>
                <w:bCs/>
                <w:sz w:val="18"/>
                <w:szCs w:val="18"/>
                <w:rtl w:val="false"/>
              </w:rPr>
              <w:t xml:space="preserve">Point</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Text</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Award</w:t>
            </w:r>
          </w:p>
        </w:tc>
        <w:tc>
          <w:tcPr>
            <w:tcMar>
              <w:top w:type="dxa" w:w="80"/>
              <w:left w:type="dxa" w:w="100"/>
              <w:bottom w:type="dxa" w:w="80"/>
              <w:right w:type="dxa" w:w="100"/>
            </w:tcMar>
          </w:tcPr>
          <w:p>
            <w:pPr>
              <w:bidi w:val="false"/>
              <w:spacing w:after="0"/>
            </w:pPr>
            <w:r>
              <w:rPr>
                <w:b w:val="false"/>
                <w:sz w:val="18"/>
                <w:szCs w:val="18"/>
                <w:rtl w:val="false"/>
              </w:rPr>
              <w:t xml:space="preserve">A full-time foreign worker with one year or more, on basic wage: 21 days for each of the first five years and 30 days for each year after. A national is governed by the pensions legislation (Article 51).</w:t>
            </w:r>
            <w:r>
              <w:rPr>
                <w:b w:val="false"/>
                <w:sz w:val="18"/>
                <w:szCs w:val="18"/>
                <w:rtl w:val="false"/>
              </w:rPr>
              <w:t xml:space="preserve"> [2]</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Dispute</w:t>
            </w:r>
          </w:p>
        </w:tc>
        <w:tc>
          <w:tcPr>
            <w:tcMar>
              <w:top w:type="dxa" w:w="80"/>
              <w:left w:type="dxa" w:w="100"/>
              <w:bottom w:type="dxa" w:w="80"/>
              <w:right w:type="dxa" w:w="100"/>
            </w:tcMar>
          </w:tcPr>
          <w:p>
            <w:pPr>
              <w:bidi w:val="false"/>
              <w:spacing w:after="0"/>
            </w:pPr>
            <w:r>
              <w:rPr>
                <w:b w:val="false"/>
                <w:sz w:val="18"/>
                <w:szCs w:val="18"/>
                <w:rtl w:val="false"/>
              </w:rPr>
              <w:t xml:space="preserve">Individual labour disputes are Article 54.</w:t>
            </w:r>
            <w:r>
              <w:rPr>
                <w:b w:val="false"/>
                <w:sz w:val="18"/>
                <w:szCs w:val="18"/>
                <w:rtl w:val="false"/>
              </w:rPr>
              <w:t xml:space="preserve"> [2]</w:t>
            </w:r>
          </w:p>
        </w:tc>
      </w:tr>
    </w:tbl>
    <w:p>
      <w:pPr>
        <w:bidi w:val="false"/>
      </w:pPr>
    </w:p>
    <w:p>
      <w:pPr>
        <w:pStyle w:val="Heading1"/>
        <w:pageBreakBefore/>
        <w:bidi w:val="false"/>
      </w:pPr>
      <w:r>
        <w:rPr>
          <w:rtl w:val="false"/>
        </w:rPr>
        <w:t xml:space="preserve">Notes for a commercial release</w:t>
      </w:r>
    </w:p>
    <w:p>
      <w:pPr>
        <w:bidi w:val="false"/>
      </w:pPr>
      <w:r>
        <w:rPr>
          <w:rtl w:val="false"/>
        </w:rPr>
        <w:t xml:space="preserve">Clause 11 only. Labour statutes in these countries were not checked here.</w:t>
      </w:r>
      <w:r>
        <w:rPr>
          <w:rtl w:val="false"/>
        </w:rPr>
        <w:t xml:space="preserve"> [3][4]</w:t>
      </w:r>
    </w:p>
    <w:tbl>
      <w:tblPr>
        <w:bidiVisual w:val="off"/>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val="false"/>
              <w:spacing w:after="0"/>
            </w:pPr>
            <w:r>
              <w:rPr>
                <w:b/>
                <w:bCs/>
                <w:sz w:val="18"/>
                <w:szCs w:val="18"/>
                <w:rtl w:val="false"/>
              </w:rPr>
              <w:t xml:space="preserve">Country</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Text</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Bahrain</w:t>
            </w:r>
          </w:p>
        </w:tc>
        <w:tc>
          <w:tcPr>
            <w:tcMar>
              <w:top w:type="dxa" w:w="80"/>
              <w:left w:type="dxa" w:w="100"/>
              <w:bottom w:type="dxa" w:w="80"/>
              <w:right w:type="dxa" w:w="100"/>
            </w:tcMar>
          </w:tcPr>
          <w:p>
            <w:pPr>
              <w:bidi w:val="false"/>
              <w:spacing w:after="0"/>
            </w:pPr>
            <w:r>
              <w:rPr>
                <w:b w:val="false"/>
                <w:sz w:val="18"/>
                <w:szCs w:val="18"/>
                <w:rtl w:val="false"/>
              </w:rPr>
              <w:t xml:space="preserve">A settlement is a contract that resolves a present or potential dispute (Civil Code, Article 496).</w:t>
            </w:r>
            <w:r>
              <w:rPr>
                <w:b w:val="false"/>
                <w:sz w:val="18"/>
                <w:szCs w:val="18"/>
                <w:rtl w:val="false"/>
              </w:rPr>
              <w:t xml:space="preserve"> [3]</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Oman</w:t>
            </w:r>
          </w:p>
        </w:tc>
        <w:tc>
          <w:tcPr>
            <w:tcMar>
              <w:top w:type="dxa" w:w="80"/>
              <w:left w:type="dxa" w:w="100"/>
              <w:bottom w:type="dxa" w:w="80"/>
              <w:right w:type="dxa" w:w="100"/>
            </w:tcMar>
          </w:tcPr>
          <w:p>
            <w:pPr>
              <w:bidi w:val="false"/>
              <w:spacing w:after="0"/>
            </w:pPr>
            <w:r>
              <w:rPr>
                <w:b w:val="false"/>
                <w:sz w:val="18"/>
                <w:szCs w:val="18"/>
                <w:rtl w:val="false"/>
              </w:rPr>
              <w:t xml:space="preserve">A settlement resolves a present or potential dispute in a matter that may be settled (Article 504).</w:t>
            </w:r>
            <w:r>
              <w:rPr>
                <w:b w:val="false"/>
                <w:sz w:val="18"/>
                <w:szCs w:val="18"/>
                <w:rtl w:val="false"/>
              </w:rPr>
              <w:t xml:space="preserve"> [4]</w:t>
            </w:r>
          </w:p>
        </w:tc>
      </w:tr>
    </w:tbl>
    <w:p>
      <w:pPr>
        <w:bidi w:val="false"/>
      </w:pPr>
    </w:p>
    <w:p>
      <w:pPr>
        <w:pStyle w:val="Heading1"/>
        <w:bidi w:val="false"/>
      </w:pPr>
      <w:r>
        <w:rPr>
          <w:rtl w:val="false"/>
        </w:rPr>
        <w:t xml:space="preserve">Qatar and Kuwait</w:t>
      </w:r>
    </w:p>
    <w:p>
      <w:pPr>
        <w:pStyle w:val="ListParagraph"/>
        <w:numPr>
          <w:ilvl w:val="0"/>
          <w:numId w:val="2"/>
        </w:numPr>
        <w:bidi w:val="false"/>
      </w:pPr>
      <w:r>
        <w:rPr>
          <w:rtl w:val="false"/>
        </w:rPr>
        <w:t xml:space="preserve">Qatar: the Labour Law was not checked for this page. Do not copy a Saudi or UAE deadline or award formula.</w:t>
      </w:r>
    </w:p>
    <w:p>
      <w:pPr>
        <w:pStyle w:val="ListParagraph"/>
        <w:numPr>
          <w:ilvl w:val="0"/>
          <w:numId w:val="2"/>
        </w:numPr>
        <w:bidi w:val="false"/>
      </w:pPr>
      <w:r>
        <w:rPr>
          <w:rtl w:val="false"/>
        </w:rPr>
        <w:t xml:space="preserve">Kuwait: the private-sector labour law was not checked. Have the release read by a Kuwaiti lawyer.</w:t>
      </w:r>
    </w:p>
    <w:p>
      <w:pPr>
        <w:pStyle w:val="Heading1"/>
        <w:pageBreakBefore/>
        <w:bidi w:val="false"/>
      </w:pPr>
      <w:r>
        <w:rPr>
          <w:rtl w:val="false"/>
        </w:rPr>
        <w:t xml:space="preserve">Annex 1: The sums</w:t>
      </w:r>
    </w:p>
    <w:p>
      <w:pPr>
        <w:bidi w:val="false"/>
      </w:pPr>
      <w:r>
        <w:rPr>
          <w:rtl w:val="false"/>
        </w:rPr>
        <w:t xml:space="preserve">Write the amount and its basis. The net is what clause 5 acknowledges.</w:t>
      </w:r>
    </w:p>
    <w:tbl>
      <w:tblPr>
        <w:bidiVisual w:val="off"/>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169"/>
        <w:gridCol w:w="3169"/>
        <w:gridCol w:w="3169"/>
      </w:tblGrid>
      <w:tr>
        <w:trPr>
          <w:tblHeader/>
        </w:trPr>
        <w:tc>
          <w:tcPr>
            <w:shd w:fill="EDEDED" w:color="auto" w:val="clear"/>
            <w:tcMar>
              <w:top w:type="dxa" w:w="80"/>
              <w:left w:type="dxa" w:w="100"/>
              <w:bottom w:type="dxa" w:w="80"/>
              <w:right w:type="dxa" w:w="100"/>
            </w:tcMar>
          </w:tcPr>
          <w:p>
            <w:pPr>
              <w:bidi w:val="false"/>
              <w:spacing w:after="0"/>
            </w:pPr>
            <w:r>
              <w:rPr>
                <w:b/>
                <w:bCs/>
                <w:sz w:val="18"/>
                <w:szCs w:val="18"/>
                <w:rtl w:val="false"/>
              </w:rPr>
              <w:t xml:space="preserve">Item</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Amount</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Basis</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Wage through the last day</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Leave pay</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End-of-service award</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Article 84 / Article 51</w:t>
            </w:r>
            <w:r>
              <w:rPr>
                <w:b w:val="false"/>
                <w:sz w:val="18"/>
                <w:szCs w:val="18"/>
                <w:highlight w:val="yellow"/>
                <w:rtl w:val="false"/>
              </w:rPr>
              <w:t xml:space="preserve">]</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Allowances and commission</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Return ticket, if any</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Deductions and their basis</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Net</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p>
        </w:tc>
      </w:tr>
    </w:tbl>
    <w:p>
      <w:pPr>
        <w:bidi w:val="false"/>
      </w:pPr>
    </w:p>
    <w:p>
      <w:pPr>
        <w:pStyle w:val="Heading1"/>
        <w:pageBreakBefore/>
        <w:bidi w:val="false"/>
      </w:pPr>
      <w:r>
        <w:rPr>
          <w:rtl w:val="false"/>
        </w:rPr>
        <w:t xml:space="preserve">About this template</w:t>
      </w:r>
    </w:p>
    <w:p>
      <w:pPr>
        <w:bidi w:val="false"/>
      </w:pPr>
      <w:r>
        <w:rPr>
          <w:rtl w:val="false"/>
        </w:rPr>
        <w:t xml:space="preserve">This is a template, not legal advice. It does not create a lawyer–client relationship. Court rules, regulator guidance and laws change; check the official sources linked and have the contract reviewed by qualified counsel in each relevant jurisdiction. Last reviewed: 22 October 2026. Have it reviewed by a lawyer licensed in your jurisdiction before use. Where an official form or platform is mandatory, it prevails.</w:t>
      </w:r>
    </w:p>
    <w:p>
      <w:pPr>
        <w:bidi w:val="false"/>
      </w:pPr>
      <w:r>
        <w:rPr>
          <w:b/>
          <w:bCs/>
          <w:rtl w:val="false"/>
        </w:rPr>
        <w:t xml:space="preserve">How we prepared this template:</w:t>
      </w:r>
      <w:r>
        <w:rPr>
          <w:rtl w:val="false"/>
        </w:rPr>
        <w:t xml:space="preserve"> we drafted it from the official legislation and government platforms listed under Sources, and checked each legal statement against the official text on the review date. Where an official form or platform exists, we link to it and you should use it. Laws change; check the sources before use and have the final text reviewed by a licensed lawyer.</w:t>
      </w:r>
    </w:p>
    <w:p>
      <w:pPr>
        <w:bidi w:val="false"/>
      </w:pPr>
      <w:r>
        <w:rPr>
          <w:rtl w:val="false"/>
        </w:rPr>
        <w:t xml:space="preserve">The text of this page and the .docx downloads are licensed under </w:t>
      </w:r>
      <w:hyperlink w:history="1" r:id="rIduhohnnmfvdh6ykoyuxmd4">
        <w:r>
          <w:rPr>
            <w:rStyle w:val="Hyperlink"/>
            <w:rtl w:val="false"/>
          </w:rPr>
          <w:t xml:space="preserve">Creative Commons Attribution 4.0 International (CC BY 4.0)</w:t>
        </w:r>
      </w:hyperlink>
      <w:r>
        <w:rPr>
          <w:rtl w:val="false"/>
        </w:rPr>
        <w:t xml:space="preserve">. The Qanu name and logo are not covered by the licence.</w:t>
      </w:r>
    </w:p>
    <w:p>
      <w:pPr>
        <w:bidi w:val="false"/>
      </w:pPr>
      <w:r>
        <w:rPr>
          <w:rtl w:val="false"/>
        </w:rPr>
        <w:t xml:space="preserve">Source: https://www.qanu.ai/en/templates/final-settlement-release · Last reviewed: 22 October 2026 · Not legal advice · CC BY 4.0</w:t>
      </w:r>
    </w:p>
    <w:p>
      <w:pPr>
        <w:pStyle w:val="Heading2"/>
        <w:bidi w:val="false"/>
      </w:pPr>
      <w:r>
        <w:rPr>
          <w:rtl w:val="false"/>
        </w:rPr>
        <w:t xml:space="preserve">Sources</w:t>
      </w:r>
    </w:p>
    <w:p>
      <w:pPr>
        <w:bidi w:val="false"/>
        <w:ind w:start="360" w:hanging="360"/>
      </w:pPr>
      <w:r>
        <w:rPr>
          <w:sz w:val="18"/>
          <w:szCs w:val="18"/>
          <w:rtl w:val="false"/>
        </w:rPr>
        <w:t xml:space="preserve">[1] Bureau of Experts, Labor Law (Royal Decree No. M/51 of 23/8/1426H), including the Royal Decree No. M/44 of 8/2/1446H note on the definition of resignation </w:t>
      </w:r>
      <w:hyperlink w:history="1" r:id="rIdtl7ttamaomjj_ddrnnagc">
        <w:r>
          <w:rPr>
            <w:rStyle w:val="Hyperlink"/>
            <w:sz w:val="16"/>
            <w:szCs w:val="16"/>
          </w:rPr>
          <w:t xml:space="preserve">https://laws.boe.gov.sa/BoeLaws/Laws/LawDetails/08381293-6388-48e2-8ad2-a9a700f2aa94/1</w:t>
        </w:r>
      </w:hyperlink>
    </w:p>
    <w:p>
      <w:pPr>
        <w:bidi w:val="false"/>
        <w:ind w:start="360" w:hanging="360"/>
      </w:pPr>
      <w:r>
        <w:rPr>
          <w:sz w:val="18"/>
          <w:szCs w:val="18"/>
          <w:rtl w:val="false"/>
        </w:rPr>
        <w:t xml:space="preserve">[2] UAE Legislation, Federal Decree-Law No. 33 of 2021 regulating labour relations, Articles 51 and 54 </w:t>
      </w:r>
      <w:hyperlink w:history="1" r:id="rId-qena5jqouaxkq3bks3ue">
        <w:r>
          <w:rPr>
            <w:rStyle w:val="Hyperlink"/>
            <w:sz w:val="16"/>
            <w:szCs w:val="16"/>
          </w:rPr>
          <w:t xml:space="preserve">https://uaelegislation.gov.ae/ar/legislations/1541</w:t>
        </w:r>
      </w:hyperlink>
    </w:p>
    <w:p>
      <w:pPr>
        <w:bidi w:val="false"/>
        <w:ind w:start="360" w:hanging="360"/>
      </w:pPr>
      <w:r>
        <w:rPr>
          <w:sz w:val="18"/>
          <w:szCs w:val="18"/>
          <w:rtl w:val="false"/>
        </w:rPr>
        <w:t xml:space="preserve">[3] Legislation and Legal Opinion Commission, Bahrain Civil Code, Decree-Law No. 19 of 2001 </w:t>
      </w:r>
      <w:hyperlink w:history="1" r:id="rIddvblg1k7xa-5h8s2vrej6">
        <w:r>
          <w:rPr>
            <w:rStyle w:val="Hyperlink"/>
            <w:sz w:val="16"/>
            <w:szCs w:val="16"/>
          </w:rPr>
          <w:t xml:space="preserve">https://www.lloc.gov.bh/Legislation/HTM/L1901</w:t>
        </w:r>
      </w:hyperlink>
    </w:p>
    <w:p>
      <w:pPr>
        <w:bidi w:val="false"/>
        <w:ind w:start="360" w:hanging="360"/>
      </w:pPr>
      <w:r>
        <w:rPr>
          <w:sz w:val="18"/>
          <w:szCs w:val="18"/>
          <w:rtl w:val="false"/>
        </w:rPr>
        <w:t xml:space="preserve">[4] Civil Transactions Law, Oman Royal Decree 29/2013 (text read on qanoon.om, a non-government mirror; the official listing is on mjla.gov.om) </w:t>
      </w:r>
      <w:hyperlink w:history="1" r:id="rId9tgmntevbjknr4bidqkor">
        <w:r>
          <w:rPr>
            <w:rStyle w:val="Hyperlink"/>
            <w:sz w:val="16"/>
            <w:szCs w:val="16"/>
          </w:rPr>
          <w:t xml:space="preserve">https://qanoon.om/p/2013/rd2013029/</w:t>
        </w:r>
      </w:hyperlink>
    </w:p>
    <w:sectPr>
      <w:headerReference w:type="default" r:id="rId7"/>
      <w:headerReference w:type="first" r:id="rId8"/>
      <w:footerReference w:type="default" r:id="rId9"/>
      <w:footerReference w:type="first" r:id="rId10"/>
      <w:pgSz w:w="11906" w:h="16838" w:orient="portrait"/>
      <w:pgMar w:top="1300" w:right="1200" w:bottom="1100" w:left="1200" w:header="500" w:footer="500" w:gutter="0"/>
      <w:pgNumType/>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Q" w:author="Qanu" w:date="2026-10-22T00:00:00.000Z">
    <w:p>
      <w:pPr>
        <w:bidi w:val="false"/>
      </w:pPr>
      <w:r>
        <w:rPr>
          <w:b/>
          <w:bCs/>
          <w:rtl w:val="false"/>
        </w:rPr>
        <w:t xml:space="preserve">Drafting note</w:t>
      </w:r>
    </w:p>
    <w:p>
      <w:pPr>
        <w:bidi w:val="false"/>
      </w:pPr>
      <w:r>
        <w:rPr>
          <w:rtl w:val="false"/>
        </w:rPr>
        <w:t xml:space="preserve">In Saudi Arabia the cause changes the time: one week if the employer ended it, two weeks if the worker ended it.</w:t>
      </w:r>
      <w:r>
        <w:rPr>
          <w:rtl w:val="false"/>
        </w:rPr>
        <w:t xml:space="preserve"> [1]</w:t>
      </w:r>
    </w:p>
  </w:comment>
  <w:comment w:id="1" w:initials="Q" w:author="Qanu" w:date="2026-10-22T00:00:00.000Z">
    <w:p>
      <w:pPr>
        <w:bidi w:val="false"/>
      </w:pPr>
      <w:r>
        <w:rPr>
          <w:b/>
          <w:bCs/>
          <w:rtl w:val="false"/>
        </w:rPr>
        <w:t xml:space="preserve">Drafting note</w:t>
      </w:r>
    </w:p>
    <w:p>
      <w:pPr>
        <w:bidi w:val="false"/>
      </w:pPr>
      <w:r>
        <w:rPr>
          <w:rtl w:val="false"/>
        </w:rPr>
        <w:t xml:space="preserve">In Saudi Arabia: half a month’s wage for each of the first five years, and one month’s wage for each year after that.</w:t>
      </w:r>
      <w:r>
        <w:rPr>
          <w:rtl w:val="false"/>
        </w:rPr>
        <w:t xml:space="preserve"> [1]</w:t>
      </w:r>
      <w:r>
        <w:rPr>
          <w:rtl w:val="false"/>
        </w:rPr>
        <w:t xml:space="preserve"> In the UAE, a full-time foreign worker with one year or more is paid on basic wage: 21 days for each of the first five years and 30 days for each year after. A national is governed by the pensions legislation.</w:t>
      </w:r>
      <w:r>
        <w:rPr>
          <w:rtl w:val="false"/>
        </w:rPr>
        <w:t xml:space="preserve"> [2]</w:t>
      </w:r>
      <w:r>
        <w:rPr>
          <w:rtl w:val="false"/>
        </w:rPr>
        <w:t xml:space="preserve"> See </w:t>
      </w:r>
      <w:hyperlink w:history="1" r:id="rIdg9h2ine1sbwenkyxabr4h">
        <w:r>
          <w:rPr>
            <w:rStyle w:val="Hyperlink"/>
            <w:rtl w:val="false"/>
          </w:rPr>
          <w:t xml:space="preserve">end-of-service gratuity</w:t>
        </w:r>
      </w:hyperlink>
      <w:r>
        <w:rPr>
          <w:rtl w:val="false"/>
        </w:rPr>
        <w:t xml:space="preserve">.</w:t>
      </w:r>
    </w:p>
  </w:comment>
  <w:comment w:id="2" w:initials="Q" w:author="Qanu" w:date="2026-10-22T00:00:00.000Z">
    <w:p>
      <w:pPr>
        <w:bidi w:val="false"/>
      </w:pPr>
      <w:r>
        <w:rPr>
          <w:b/>
          <w:bCs/>
          <w:rtl w:val="false"/>
        </w:rPr>
        <w:t xml:space="preserve">Drafting note</w:t>
      </w:r>
    </w:p>
    <w:p>
      <w:pPr>
        <w:bidi w:val="false"/>
      </w:pPr>
      <w:r>
        <w:rPr>
          <w:rtl w:val="false"/>
        </w:rPr>
        <w:t xml:space="preserve">Do not write a deduction you cannot describe. The cap is in the labour law, not in this form.</w:t>
      </w:r>
    </w:p>
  </w:comment>
  <w:comment w:id="3" w:initials="Q" w:author="Qanu" w:date="2026-10-22T00:00:00.000Z">
    <w:p>
      <w:pPr>
        <w:bidi w:val="false"/>
      </w:pPr>
      <w:r>
        <w:rPr>
          <w:b/>
          <w:bCs/>
          <w:rtl w:val="false"/>
        </w:rPr>
        <w:t xml:space="preserve">Drafting note</w:t>
      </w:r>
    </w:p>
    <w:p>
      <w:pPr>
        <w:bidi w:val="false"/>
      </w:pPr>
      <w:r>
        <w:rPr>
          <w:rtl w:val="false"/>
        </w:rPr>
        <w:t xml:space="preserve">In Saudi Arabia a release during the contract is void unless it is more beneficial to the worker, so the signature sits after the end.</w:t>
      </w:r>
      <w:r>
        <w:rPr>
          <w:rtl w:val="false"/>
        </w:rPr>
        <w:t xml:space="preserve"> [1]</w:t>
      </w:r>
      <w:r>
        <w:rPr>
          <w:rtl w:val="false"/>
        </w:rPr>
        <w:t xml:space="preserve"> A claim for these rights is not heard after twelve months from the end of the relationship.</w:t>
      </w:r>
      <w:r>
        <w:rPr>
          <w:rtl w:val="false"/>
        </w:rPr>
        <w:t xml:space="preserve"> [1]</w:t>
      </w:r>
    </w:p>
  </w:comment>
  <w:comment w:id="4" w:initials="Q" w:author="Qanu" w:date="2026-10-22T00:00:00.000Z">
    <w:p>
      <w:pPr>
        <w:bidi w:val="false"/>
      </w:pPr>
      <w:r>
        <w:rPr>
          <w:b/>
          <w:bCs/>
          <w:rtl w:val="false"/>
        </w:rPr>
        <w:t xml:space="preserve">Drafting note</w:t>
      </w:r>
    </w:p>
    <w:p>
      <w:pPr>
        <w:bidi w:val="false"/>
      </w:pPr>
      <w:r>
        <w:rPr>
          <w:rtl w:val="false"/>
        </w:rPr>
        <w:t xml:space="preserve">In Saudi Arabia the service certificate is free on request.</w:t>
      </w:r>
      <w:r>
        <w:rPr>
          <w:rtl w:val="false"/>
        </w:rPr>
        <w:t xml:space="preserve"> [1]</w:t>
      </w:r>
    </w:p>
  </w:comment>
  <w:comment w:id="5" w:initials="Q" w:author="Qanu" w:date="2026-10-22T00:00:00.000Z">
    <w:p>
      <w:pPr>
        <w:bidi w:val="false"/>
      </w:pPr>
      <w:r>
        <w:rPr>
          <w:b/>
          <w:bCs/>
          <w:rtl w:val="false"/>
        </w:rPr>
        <w:t xml:space="preserve">Drafting note</w:t>
      </w:r>
    </w:p>
    <w:p>
      <w:pPr>
        <w:bidi w:val="false"/>
      </w:pPr>
      <w:r>
        <w:rPr>
          <w:rtl w:val="false"/>
        </w:rPr>
        <w:t xml:space="preserve">See </w:t>
      </w:r>
      <w:hyperlink w:history="1" r:id="rIdad-thgtg24vy5pztyidmy">
        <w:r>
          <w:rPr>
            <w:rStyle w:val="Hyperlink"/>
            <w:rtl w:val="false"/>
          </w:rPr>
          <w:t xml:space="preserve">non-compete clause</w:t>
        </w:r>
      </w:hyperlink>
      <w:r>
        <w:rPr>
          <w:rtl w:val="false"/>
        </w:rPr>
        <w:t xml:space="preserve"> and </w:t>
      </w:r>
      <w:hyperlink w:history="1" r:id="rIdglvtobx3fsxcqxu7z_a7q">
        <w:r>
          <w:rPr>
            <w:rStyle w:val="Hyperlink"/>
            <w:rtl w:val="false"/>
          </w:rPr>
          <w:t xml:space="preserve">probation period</w:t>
        </w:r>
      </w:hyperlink>
      <w:r>
        <w:rPr>
          <w:rtl w:val="false"/>
        </w:rPr>
        <w:t xml:space="preserve">. Do not copy a restriction wider than the contract and the statute.</w:t>
      </w:r>
    </w:p>
  </w:comment>
  <w:comment w:id="6" w:initials="Q" w:author="Qanu" w:date="2026-10-22T00:00:00.000Z">
    <w:p>
      <w:pPr>
        <w:bidi w:val="false"/>
      </w:pPr>
      <w:r>
        <w:rPr>
          <w:b/>
          <w:bCs/>
          <w:rtl w:val="false"/>
        </w:rPr>
        <w:t xml:space="preserve">Drafting note</w:t>
      </w:r>
    </w:p>
    <w:p>
      <w:pPr>
        <w:bidi w:val="false"/>
      </w:pPr>
      <w:r>
        <w:rPr>
          <w:rtl w:val="false"/>
        </w:rPr>
        <w:t xml:space="preserve">Individual labour disputes in the UAE are Article 54.</w:t>
      </w:r>
      <w:r>
        <w:rPr>
          <w:rtl w:val="false"/>
        </w:rPr>
        <w:t xml:space="preserve"> [2]</w:t>
      </w:r>
      <w:r>
        <w:rPr>
          <w:rtl w:val="false"/>
        </w:rPr>
        <w:t xml:space="preserve"> For a civil settlement see </w:t>
      </w:r>
      <w:hyperlink w:history="1" r:id="rIdnz3axuc00mvyvqhxfqjmt">
        <w:r>
          <w:rPr>
            <w:rStyle w:val="Hyperlink"/>
            <w:rtl w:val="false"/>
          </w:rPr>
          <w:t xml:space="preserve">settlement</w:t>
        </w:r>
      </w:hyperlink>
      <w:r>
        <w:rPr>
          <w:rtl w:val="false"/>
        </w:rPr>
        <w:t xml:space="preserve">.</w:t>
      </w:r>
    </w:p>
  </w:comment>
  <w:comment w:id="7" w:initials="Q" w:author="Qanu" w:date="2026-10-22T00:00:00.000Z">
    <w:p>
      <w:pPr>
        <w:bidi w:val="false"/>
      </w:pPr>
      <w:r>
        <w:rPr>
          <w:b/>
          <w:bCs/>
          <w:rtl w:val="false"/>
        </w:rPr>
        <w:t xml:space="preserve">Drafting note</w:t>
      </w:r>
    </w:p>
    <w:p>
      <w:pPr>
        <w:bidi w:val="false"/>
      </w:pPr>
      <w:r>
        <w:rPr>
          <w:rtl w:val="false"/>
        </w:rPr>
        <w:t xml:space="preserve">In Bahrain a settlement is a contract that resolves a present or potential dispute.</w:t>
      </w:r>
      <w:r>
        <w:rPr>
          <w:rtl w:val="false"/>
        </w:rPr>
        <w:t xml:space="preserve"> [3]</w:t>
      </w:r>
      <w:r>
        <w:rPr>
          <w:rtl w:val="false"/>
        </w:rPr>
        <w:t xml:space="preserve"> In Oman it resolves a present or potential dispute in a matter that may be settled.</w:t>
      </w:r>
      <w:r>
        <w:rPr>
          <w:rtl w:val="false"/>
        </w:rPr>
        <w:t xml:space="preserve"> [4]</w:t>
      </w:r>
      <w:r>
        <w:rPr>
          <w:rtl w:val="false"/>
        </w:rPr>
        <w:t xml:space="preserve"> Labour statutes in Bahrain, Qatar, Kuwait and Oman were not checked for this page.</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pPr>
    <w:r>
      <w:rPr>
        <w:color w:val="555555"/>
        <w:sz w:val="16"/>
        <w:szCs w:val="16"/>
        <w:rtl w:val="false"/>
      </w:rPr>
      <w:t xml:space="preserve">CC BY 4.0 · Page </w:t>
    </w:r>
    <w:r>
      <w:rPr>
        <w:color w:val="555555"/>
        <w:sz w:val="16"/>
        <w:szCs w:val="16"/>
        <w:rtl w:val="false"/>
      </w:rPr>
      <w:fldChar w:fldCharType="begin"/>
    </w:r>
    <w:r>
      <w:rPr>
        <w:color w:val="555555"/>
        <w:sz w:val="16"/>
        <w:szCs w:val="16"/>
        <w:rtl w:val="false"/>
      </w:rPr>
      <w:instrText xml:space="preserve">PAGE</w:instrText>
    </w:r>
    <w:r>
      <w:rPr>
        <w:color w:val="555555"/>
        <w:sz w:val="16"/>
        <w:szCs w:val="16"/>
        <w:rtl w:val="false"/>
      </w:rPr>
      <w:fldChar w:fldCharType="separate"/>
    </w:r>
    <w:r>
      <w:rPr>
        <w:color w:val="555555"/>
        <w:sz w:val="16"/>
        <w:szCs w:val="16"/>
        <w:rtl w:val="false"/>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pPr>
    <w:r>
      <w:rPr>
        <w:color w:val="555555"/>
        <w:sz w:val="16"/>
        <w:szCs w:val="16"/>
        <w:rtl w:val="false"/>
      </w:rPr>
      <w:t xml:space="preserve">CC BY 4.0 · Page </w:t>
    </w:r>
    <w:r>
      <w:rPr>
        <w:color w:val="555555"/>
        <w:sz w:val="16"/>
        <w:szCs w:val="16"/>
        <w:rtl w:val="false"/>
      </w:rPr>
      <w:fldChar w:fldCharType="begin"/>
    </w:r>
    <w:r>
      <w:rPr>
        <w:color w:val="555555"/>
        <w:sz w:val="16"/>
        <w:szCs w:val="16"/>
        <w:rtl w:val="false"/>
      </w:rPr>
      <w:instrText xml:space="preserve">PAGE</w:instrText>
    </w:r>
    <w:r>
      <w:rPr>
        <w:color w:val="555555"/>
        <w:sz w:val="16"/>
        <w:szCs w:val="16"/>
        <w:rtl w:val="false"/>
      </w:rPr>
      <w:fldChar w:fldCharType="separate"/>
    </w:r>
    <w:r>
      <w:rPr>
        <w:color w:val="555555"/>
        <w:sz w:val="16"/>
        <w:szCs w:val="16"/>
        <w:rtl w:val="false"/>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pPr>
    <w:r>
      <w:rPr>
        <w:color w:val="555555"/>
        <w:sz w:val="16"/>
        <w:szCs w:val="16"/>
        <w:rtl w:val="false"/>
      </w:rPr>
      <w:t xml:space="preserve">Template – not legal advice – Qanu – last reviewed 22 October 2026 – https://www.qanu.ai/en/templates/final-settlement-release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BBBBB" w:sz="4" w:space="4"/>
      </w:pBdr>
      <w:bidi w:val="false"/>
    </w:pPr>
    <w:r>
      <w:rPr>
        <w:color w:val="555555"/>
        <w:sz w:val="16"/>
        <w:szCs w:val="16"/>
        <w:rtl w:val="false"/>
      </w:rPr>
      <w:t xml:space="preserve">Template – not legal advice – Qanu – last reviewed 22 October 2026 – https://www.qanu.ai/en/templates/final-settlement-release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start="360" w:hanging="260"/>
      </w:pPr>
    </w:lvl>
    <w:lvl w:ilvl="1" w:tentative="1">
      <w:start w:val="1"/>
      <w:numFmt w:val="bullet"/>
      <w:lvlText w:val="◦"/>
      <w:lvlJc w:val="left"/>
      <w:pPr>
        <w:ind w:start="900" w:hanging="260"/>
      </w:pPr>
    </w:lvl>
  </w:abstractNum>
  <w:num w:numId="1">
    <w:abstractNumId w:val="1"/>
    <w:lvlOverride w:ilvl="0">
      <w:startOverride w:val="1"/>
    </w:lvlOverride>
  </w:num>
  <w:num w:numId="2">
    <w:abstractNumId w:val="2"/>
    <w:lvlOverride w:ilvl="0">
      <w:startOverride w:val="1"/>
    </w:lvlOverride>
    <w:lvlOverride w:ilvl="1">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IBM Plex Sans Arabic" w:eastAsia="Calibri" w:hAnsi="Calibri"/>
        <w:sz w:val="21"/>
        <w:szCs w:val="21"/>
        <w:lang w:val="en-GB" w:bidi="ar-SA"/>
      </w:rPr>
    </w:rPrDefault>
    <w:pPrDefault>
      <w:pPr>
        <w:spacing w:after="120"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120" w:line="240" w:lineRule="auto"/>
    </w:pPr>
    <w:rPr>
      <w:rFonts w:ascii="Calibri" w:cs="IBM Plex Sans Arabic" w:eastAsia="Calibri" w:hAnsi="Calibri"/>
      <w:b/>
      <w:bCs/>
      <w:color w:val="111111"/>
      <w:sz w:val="36"/>
      <w:szCs w:val="36"/>
    </w:rPr>
  </w:style>
  <w:style w:type="paragraph" w:styleId="Heading1">
    <w:name w:val="Heading 1"/>
    <w:basedOn w:val="Normal"/>
    <w:next w:val="Normal"/>
    <w:qFormat/>
    <w:pPr>
      <w:keepNext/>
      <w:spacing w:after="120" w:before="320"/>
    </w:pPr>
    <w:rPr>
      <w:rFonts w:ascii="Calibri" w:cs="IBM Plex Sans Arabic" w:eastAsia="Calibri" w:hAnsi="Calibri"/>
      <w:b/>
      <w:bCs/>
      <w:color w:val="111111"/>
      <w:sz w:val="26"/>
      <w:szCs w:val="26"/>
    </w:rPr>
  </w:style>
  <w:style w:type="paragraph" w:styleId="Heading2">
    <w:name w:val="Heading 2"/>
    <w:basedOn w:val="Normal"/>
    <w:next w:val="Normal"/>
    <w:qFormat/>
    <w:pPr>
      <w:keepNext/>
      <w:spacing w:after="120" w:before="240"/>
    </w:pPr>
    <w:rPr>
      <w:rFonts w:ascii="Calibri" w:cs="IBM Plex Sans Arabic" w:eastAsia="Calibri" w:hAnsi="Calibri"/>
      <w:b/>
      <w:bCs/>
      <w:color w:val="111111"/>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F4E9E"/>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Relationship Id="rIdg9h2ine1sbwenkyxabr4h" Type="http://schemas.openxmlformats.org/officeDocument/2006/relationships/hyperlink" Target="https://www.qanu.ai/en/glossary/end-of-service-gratuity" TargetMode="External"/><Relationship Id="rIdad-thgtg24vy5pztyidmy" Type="http://schemas.openxmlformats.org/officeDocument/2006/relationships/hyperlink" Target="https://www.qanu.ai/en/glossary/non-compete-clause" TargetMode="External"/><Relationship Id="rIdglvtobx3fsxcqxu7z_a7q" Type="http://schemas.openxmlformats.org/officeDocument/2006/relationships/hyperlink" Target="https://www.qanu.ai/en/glossary/probation-period" TargetMode="External"/><Relationship Id="rIdnz3axuc00mvyvqhxfqjmt" Type="http://schemas.openxmlformats.org/officeDocument/2006/relationships/hyperlink" Target="https://www.qanu.ai/en/glossary/settlement"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theme" Target="theme/theme1.xml"/><Relationship Id="rIdlgvoba_vhbaegwt7_zjwj" Type="http://schemas.openxmlformats.org/officeDocument/2006/relationships/hyperlink" Target="https://www.qanu.ai/en/templates/employment-contract" TargetMode="External"/><Relationship Id="rIdz1jnyrcjjbeix4htyxwht" Type="http://schemas.openxmlformats.org/officeDocument/2006/relationships/hyperlink" Target="https://www.qanu.ai/en/templates/resignation-letter" TargetMode="External"/><Relationship Id="rIdieslaqnyshidloxhbpjja" Type="http://schemas.openxmlformats.org/officeDocument/2006/relationships/hyperlink" Target="https://www.qanu.ai/en/templates/settlement-agreement" TargetMode="External"/><Relationship Id="rId1lixbvavcjcv5kjteg-jv" Type="http://schemas.openxmlformats.org/officeDocument/2006/relationships/hyperlink" Target="https://laws.boe.gov.sa/BoeLaws/Laws/LawDetails/08381293-6388-48e2-8ad2-a9a700f2aa94/1" TargetMode="External"/><Relationship Id="rIdvd2nrjkbugm6lgnewir1-" Type="http://schemas.openxmlformats.org/officeDocument/2006/relationships/hyperlink" Target="https://uaelegislation.gov.ae/ar/legislations/1541" TargetMode="External"/><Relationship Id="rIduhohnnmfvdh6ykoyuxmd4" Type="http://schemas.openxmlformats.org/officeDocument/2006/relationships/hyperlink" Target="https://creativecommons.org/licenses/by/4.0/deed.en" TargetMode="External"/><Relationship Id="rIdtl7ttamaomjj_ddrnnagc" Type="http://schemas.openxmlformats.org/officeDocument/2006/relationships/hyperlink" Target="https://laws.boe.gov.sa/BoeLaws/Laws/LawDetails/08381293-6388-48e2-8ad2-a9a700f2aa94/1" TargetMode="External"/><Relationship Id="rId-qena5jqouaxkq3bks3ue" Type="http://schemas.openxmlformats.org/officeDocument/2006/relationships/hyperlink" Target="https://uaelegislation.gov.ae/ar/legislations/1541" TargetMode="External"/><Relationship Id="rIddvblg1k7xa-5h8s2vrej6" Type="http://schemas.openxmlformats.org/officeDocument/2006/relationships/hyperlink" Target="https://www.lloc.gov.bh/Legislation/HTM/L1901" TargetMode="External"/><Relationship Id="rId9tgmntevbjknr4bidqkor" Type="http://schemas.openxmlformats.org/officeDocument/2006/relationships/hyperlink" Target="https://qanoon.om/p/2013/rd2013029/" TargetMode="External"/><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settlement and release form</dc:title>
  <dc:creator>Qanu</dc:creator>
  <cp:keywords>Final settlement, Release, End-of-service award, GCC</cp:keywords>
  <dc:description>This is a template, not legal advice. It does not create a lawyer–client relationship. Court rules, regulator guidance and laws change; check the official sources linked and have the contract reviewed by qualified counsel in each relevant jurisdiction. Last reviewed: 22 October 2026. Have it reviewed by a lawyer licensed in your jurisdiction before use. Where an official form or platform is mandatory, it prevails.</dc:description>
  <cp:lastModifiedBy>Qanu</cp:lastModifiedBy>
  <cp:revision>1</cp:revision>
  <dcterms:created xsi:type="dcterms:W3CDTF">2026-10-21T21:23:25.110Z</dcterms:created>
  <dcterms:modified xsi:type="dcterms:W3CDTF">2026-10-21T21:23:25.110Z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cense">
    <vt:lpwstr>https://creativecommons.org/licenses/by/4.0/</vt:lpwstr>
  </property>
  <property fmtid="{D5CDD505-2E9C-101B-9397-08002B2CF9AE}" pid="3" name="Source">
    <vt:lpwstr>https://www.qanu.ai/en/templates/final-settlement-release</vt:lpwstr>
  </property>
</Properties>
</file>