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11111" w:sz="12" w:space="6"/>
          <w:left w:val="single" w:color="111111" w:sz="12" w:space="6"/>
          <w:bottom w:val="single" w:color="111111" w:sz="12" w:space="6"/>
          <w:right w:val="single" w:color="111111" w:sz="12" w:space="6"/>
        </w:pBdr>
        <w:shd w:fill="FFF4D6" w:color="auto" w:val="clear"/>
        <w:bidi/>
      </w:pPr>
      <w:r>
        <w:rPr>
          <w:b/>
          <w:bCs/>
          <w:rtl/>
        </w:rPr>
        <w:t xml:space="preserve">لا تنفذ الوكالة إلا إذا صدرت من القناة الرسمية.</w:t>
      </w:r>
      <w:r>
        <w:rPr>
          <w:rtl/>
        </w:rPr>
        <w:t xml:space="preserve"> في المملكة العربية السعودية تتيح خدمة «إصدار وكالة» إصدار الوكالة إلكترونياً عبر ناجز من غير زيارة كتابة العدل. ومدة الوكالة الإلكترونية لا تتجاوز سنة، ويجوز لأي طرف أن يفسخ نفسه منها جزئياً عبر ناجز أو تطبيق ناجز، وتنفسخ آلياً عند وفاة أحد أطرافها.</w:t>
      </w:r>
      <w:r>
        <w:rPr>
          <w:rtl/>
        </w:rPr>
        <w:t xml:space="preserve"> [1]</w:t>
      </w:r>
      <w:r>
        <w:rPr>
          <w:rtl/>
        </w:rPr>
        <w:t xml:space="preserve"> وفي السعودية لا تصح الوكالة بألفاظ عامة لا تعيّن نوع التصرف. علّموا الأنواع في الملحق (1).</w:t>
      </w:r>
      <w:r>
        <w:rPr>
          <w:rtl/>
        </w:rPr>
        <w:t xml:space="preserve"> [7]</w:t>
      </w:r>
      <w:r>
        <w:rPr>
          <w:rtl/>
        </w:rPr>
        <w:t xml:space="preserve"> وفي أبوظبي يتولى الكاتب العدل لدى دائرة القضاء توثيق المحررات.</w:t>
      </w:r>
      <w:r>
        <w:rPr>
          <w:rtl/>
        </w:rPr>
        <w:t xml:space="preserve"> [5]</w:t>
      </w:r>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إصدار وكالة: </w:t>
      </w:r>
      <w:hyperlink w:history="1" r:id="rIdsxgrymqmfr4ht3r71a78g">
        <w:r>
          <w:rPr>
            <w:rStyle w:val="Hyperlink"/>
            <w:sz w:val="17"/>
            <w:szCs w:val="17"/>
          </w:rPr>
          <w:t xml:space="preserve">‪https://www.moj.gov.sa/ar/eServices/pages/3472d517-7cb4-4cd5-a6bc-2abc9751eea3.aspx‬</w:t>
        </w:r>
      </w:hyperlink>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منصة ناجز: </w:t>
      </w:r>
      <w:hyperlink w:history="1" r:id="rIdax_2nlkoyn1ftn1of8tcc">
        <w:r>
          <w:rPr>
            <w:rStyle w:val="Hyperlink"/>
            <w:sz w:val="17"/>
            <w:szCs w:val="17"/>
          </w:rPr>
          <w:t xml:space="preserve">‪https://najiz.sa/applications/landing‬</w:t>
        </w:r>
      </w:hyperlink>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الكاتب العدل في أبوظبي: </w:t>
      </w:r>
      <w:hyperlink w:history="1" r:id="rIdelnfszukykd-3pfzns5t8">
        <w:r>
          <w:rPr>
            <w:rStyle w:val="Hyperlink"/>
            <w:sz w:val="17"/>
            <w:szCs w:val="17"/>
          </w:rPr>
          <w:t xml:space="preserve">‪https://www.adjd.gov.ae/EN/Pages/notarypublics.aspx‬</w:t>
        </w:r>
      </w:hyperlink>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الكاتب العدل الإلكتروني: </w:t>
      </w:r>
      <w:hyperlink w:history="1" r:id="rIdckjkqcdorhbcgmlr8qepv">
        <w:r>
          <w:rPr>
            <w:rStyle w:val="Hyperlink"/>
            <w:sz w:val="17"/>
            <w:szCs w:val="17"/>
          </w:rPr>
          <w:t xml:space="preserve">‪https://www.moj.gov.ae/en/services/esystems/e-notary.aspx‬</w:t>
        </w:r>
      </w:hyperlink>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عُمان:</w:t>
      </w:r>
      <w:r>
        <w:rPr>
          <w:sz w:val="19"/>
          <w:szCs w:val="19"/>
          <w:rtl/>
        </w:rPr>
        <w:t xml:space="preserve"> الوكالة العامة تشمل كل أمر يقبل النيابة، عدا التبرعات والصلح والإبراء والتحكيم والقرض والأحوال الشخصية ما لم تُكتب (المادتان 675 و677).</w:t>
      </w:r>
      <w:r>
        <w:rPr>
          <w:sz w:val="19"/>
          <w:szCs w:val="19"/>
          <w:rtl/>
        </w:rPr>
        <w:t xml:space="preserve"> [8]</w:t>
      </w:r>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الإمارات:</w:t>
      </w:r>
      <w:r>
        <w:rPr>
          <w:sz w:val="19"/>
          <w:szCs w:val="19"/>
          <w:rtl/>
        </w:rPr>
        <w:t xml:space="preserve"> يجوز أن تكون الوكالة عامة أو خاصة أو معلقة أو مضافة (المرسوم بقانون اتحادي رقم 25 لسنة 2025، المادة 869، النافذ في 1 يونيو 2026). ونطاق الوكالة العامة قيد المراجعة.</w:t>
      </w:r>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البحرين وقطر والكويت:</w:t>
      </w:r>
      <w:r>
        <w:rPr>
          <w:sz w:val="19"/>
          <w:szCs w:val="19"/>
          <w:rtl/>
        </w:rPr>
        <w:t xml:space="preserve"> نطاق الوكالة العامة قيد المراجعة. لا رقم مادة.</w:t>
      </w:r>
    </w:p>
    <w:p>
      <w:pPr>
        <w:bidi/>
        <w:spacing w:after="240"/>
      </w:pPr>
    </w:p>
    <w:p>
      <w:pPr>
        <w:pStyle w:val="Title"/>
        <w:bidi/>
      </w:pPr>
      <w:r>
        <w:rPr>
          <w:rtl/>
        </w:rPr>
        <w:t xml:space="preserve">وكالة عامة</w:t>
      </w:r>
    </w:p>
    <w:p>
      <w:pPr>
        <w:bidi/>
        <w:spacing w:after="240"/>
      </w:pPr>
      <w:r>
        <w:rPr>
          <w:color w:val="444444"/>
          <w:rtl/>
        </w:rPr>
        <w:t xml:space="preserve">مسودة وكالة عامة في دول الخليج: الأطراف، وقائمة أنواع الصلاحيات، والقيود، والمدة، والعزل. وهي ليست وكالة خاصة ولا تغني عن الوكالة الصادرة من القناة الرسمية. استبدلوا كل </w:t>
      </w:r>
      <w:r>
        <w:rPr>
          <w:color w:val="444444"/>
          <w:highlight w:val="yellow"/>
          <w:rtl/>
        </w:rPr>
        <w:t xml:space="preserve">[</w:t>
      </w:r>
      <w:r>
        <w:rPr>
          <w:color w:val="444444"/>
          <w:highlight w:val="yellow"/>
          <w:rtl/>
        </w:rPr>
        <w:t xml:space="preserve">عبارة بين معقوفين</w:t>
      </w:r>
      <w:r>
        <w:rPr>
          <w:color w:val="444444"/>
          <w:highlight w:val="yellow"/>
          <w:rtl/>
        </w:rPr>
        <w:t xml:space="preserve">]</w:t>
      </w:r>
      <w:r>
        <w:rPr>
          <w:color w:val="444444"/>
          <w:rtl/>
        </w:rPr>
        <w:t xml:space="preserve">.</w:t>
      </w:r>
    </w:p>
    <w:p>
      <w:pPr>
        <w:pStyle w:val="Heading1"/>
        <w:bidi/>
      </w:pPr>
      <w:commentRangeStart w:id="0"/>
      <w:r>
        <w:rPr>
          <w:rtl/>
        </w:rPr>
        <w:t xml:space="preserve">البند (1): الأطراف</w:t>
      </w:r>
      <w:commentRangeEnd w:id="0"/>
      <w:r>
        <w:rPr>
          <w:rtl/>
        </w:rPr>
        <w:commentReference w:id="0"/>
      </w:r>
    </w:p>
    <w:p>
      <w:pPr>
        <w:bidi/>
      </w:pPr>
      <w:r>
        <w:rPr>
          <w:rtl/>
        </w:rPr>
        <w:t xml:space="preserve">أنا </w:t>
      </w:r>
      <w:r>
        <w:rPr>
          <w:highlight w:val="yellow"/>
          <w:rtl/>
        </w:rPr>
        <w:t xml:space="preserve">[</w:t>
      </w:r>
      <w:r>
        <w:rPr>
          <w:highlight w:val="yellow"/>
          <w:rtl/>
        </w:rPr>
        <w:t xml:space="preserve">الموكِّل: الاسم، رقم الهوية، العنوان</w:t>
      </w:r>
      <w:r>
        <w:rPr>
          <w:highlight w:val="yellow"/>
          <w:rtl/>
        </w:rPr>
        <w:t xml:space="preserve">]</w:t>
      </w:r>
      <w:r>
        <w:rPr>
          <w:rtl/>
        </w:rPr>
        <w:t xml:space="preserve">، وأنا بكامل الأهلية، أوكّل </w:t>
      </w:r>
      <w:r>
        <w:rPr>
          <w:highlight w:val="yellow"/>
          <w:rtl/>
        </w:rPr>
        <w:t xml:space="preserve">[</w:t>
      </w:r>
      <w:r>
        <w:rPr>
          <w:highlight w:val="yellow"/>
          <w:rtl/>
        </w:rPr>
        <w:t xml:space="preserve">الوكيل: الاسم، رقم الهوية، العنوان</w:t>
      </w:r>
      <w:r>
        <w:rPr>
          <w:highlight w:val="yellow"/>
          <w:rtl/>
        </w:rPr>
        <w:t xml:space="preserve">]</w:t>
      </w:r>
      <w:r>
        <w:rPr>
          <w:rtl/>
        </w:rPr>
        <w:t xml:space="preserve"> ليقوم مقامي في حدود هذه الوكالة العامة.</w:t>
      </w:r>
    </w:p>
    <w:p>
      <w:pPr>
        <w:bidi/>
      </w:pPr>
      <w:r>
        <w:rPr>
          <w:rtl/>
        </w:rPr>
        <w:t xml:space="preserve">صفة الموكِّل: </w:t>
      </w:r>
      <w:r>
        <w:rPr>
          <w:highlight w:val="yellow"/>
          <w:rtl/>
        </w:rPr>
        <w:t xml:space="preserve">[</w:t>
      </w:r>
      <w:r>
        <w:rPr>
          <w:highlight w:val="yellow"/>
          <w:rtl/>
        </w:rPr>
        <w:t xml:space="preserve">أصالة عن نفسه / وكيل بموجب وكالة / مالك مؤسسة / ممثل شركة</w:t>
      </w:r>
      <w:r>
        <w:rPr>
          <w:highlight w:val="yellow"/>
          <w:rtl/>
        </w:rPr>
        <w:t xml:space="preserve">]</w:t>
      </w:r>
      <w:r>
        <w:rPr>
          <w:rtl/>
        </w:rPr>
        <w:t xml:space="preserve">.</w:t>
      </w:r>
    </w:p>
    <w:p>
      <w:pPr>
        <w:pStyle w:val="Heading1"/>
        <w:bidi/>
      </w:pPr>
      <w:commentRangeStart w:id="1"/>
      <w:r>
        <w:rPr>
          <w:rtl/>
        </w:rPr>
        <w:t xml:space="preserve">البند (2): نوع الوكالة</w:t>
      </w:r>
      <w:commentRangeEnd w:id="1"/>
      <w:r>
        <w:rPr>
          <w:rtl/>
        </w:rPr>
        <w:commentReference w:id="1"/>
      </w:r>
    </w:p>
    <w:p>
      <w:pPr>
        <w:bidi/>
      </w:pPr>
      <w:r>
        <w:rPr>
          <w:rtl/>
        </w:rPr>
        <w:t xml:space="preserve">هذه الأداة </w:t>
      </w:r>
      <w:r>
        <w:rPr>
          <w:b/>
          <w:bCs/>
          <w:rtl/>
        </w:rPr>
        <w:t xml:space="preserve">وكالة عامة</w:t>
      </w:r>
      <w:r>
        <w:rPr>
          <w:rtl/>
        </w:rPr>
        <w:t xml:space="preserve">. يباشر الوكيل أنواع التصرفات المعلَّمة في الملحق (1)، ما لم يُستثنَ تصرف في البند (4). وهي ليست مقصورة على معاملة واحدة مسمّاة. وللتصرف الواحد استخدموا وكالة خاصة.</w:t>
      </w:r>
    </w:p>
    <w:p>
      <w:pPr>
        <w:pStyle w:val="Heading1"/>
        <w:bidi/>
      </w:pPr>
      <w:commentRangeStart w:id="2"/>
      <w:r>
        <w:rPr>
          <w:rtl/>
        </w:rPr>
        <w:t xml:space="preserve">البند (3): نطاق الصلاحية</w:t>
      </w:r>
      <w:commentRangeEnd w:id="2"/>
      <w:r>
        <w:rPr>
          <w:rtl/>
        </w:rPr>
        <w:commentReference w:id="2"/>
      </w:r>
    </w:p>
    <w:p>
      <w:pPr>
        <w:bidi/>
      </w:pPr>
      <w:r>
        <w:rPr>
          <w:rtl/>
        </w:rPr>
        <w:t xml:space="preserve">لا يباشر الوكيل إلا الصلاحيات المعلَّمة في الملحق (1)، وفي حدّ كل صلاحية المكتوب أمامها.</w:t>
      </w:r>
    </w:p>
    <w:p>
      <w:pPr>
        <w:pStyle w:val="Heading1"/>
        <w:bidi/>
      </w:pPr>
      <w:commentRangeStart w:id="3"/>
      <w:r>
        <w:rPr>
          <w:rtl/>
        </w:rPr>
        <w:t xml:space="preserve">البند (4): القيود والتصرفات المستثناة</w:t>
      </w:r>
      <w:commentRangeEnd w:id="3"/>
      <w:r>
        <w:rPr>
          <w:rtl/>
        </w:rPr>
        <w:commentReference w:id="3"/>
      </w:r>
    </w:p>
    <w:p>
      <w:pPr>
        <w:bidi/>
      </w:pPr>
      <w:r>
        <w:rPr>
          <w:rtl/>
        </w:rPr>
        <w:t xml:space="preserve">لا يجوز للوكيل: </w:t>
      </w:r>
      <w:r>
        <w:rPr>
          <w:highlight w:val="yellow"/>
          <w:rtl/>
        </w:rPr>
        <w:t xml:space="preserve">[</w:t>
      </w:r>
      <w:r>
        <w:rPr>
          <w:highlight w:val="yellow"/>
          <w:rtl/>
        </w:rPr>
        <w:t xml:space="preserve">الهبة / إبراء ذمة / الصلح / التنازل عن حق / التصرف في عقار / الاقتراض / استثناءات أخرى</w:t>
      </w:r>
      <w:r>
        <w:rPr>
          <w:highlight w:val="yellow"/>
          <w:rtl/>
        </w:rPr>
        <w:t xml:space="preserve">]</w:t>
      </w:r>
      <w:r>
        <w:rPr>
          <w:rtl/>
        </w:rPr>
        <w:t xml:space="preserve">. وما لم يُذكر في الملحق (1) خارج هذه الوكالة.</w:t>
      </w:r>
    </w:p>
    <w:p>
      <w:pPr>
        <w:pStyle w:val="Heading1"/>
        <w:bidi/>
      </w:pPr>
      <w:commentRangeStart w:id="4"/>
      <w:r>
        <w:rPr>
          <w:rtl/>
        </w:rPr>
        <w:t xml:space="preserve">البند (5): حق التوكيل</w:t>
      </w:r>
      <w:commentRangeEnd w:id="4"/>
      <w:r>
        <w:rPr>
          <w:rtl/>
        </w:rPr>
        <w:commentReference w:id="4"/>
      </w:r>
    </w:p>
    <w:p>
      <w:pPr>
        <w:bidi/>
      </w:pPr>
      <w:r>
        <w:rPr>
          <w:b/>
          <w:bCs/>
          <w:rtl/>
        </w:rPr>
        <w:t xml:space="preserve">خيار:</w:t>
      </w:r>
      <w:r>
        <w:rPr>
          <w:rtl/>
        </w:rPr>
        <w:t xml:space="preserve"> لا يجوز للوكيل أن يوكّل غيره.</w:t>
      </w:r>
    </w:p>
    <w:p>
      <w:pPr>
        <w:bidi/>
      </w:pPr>
      <w:r>
        <w:rPr>
          <w:b/>
          <w:bCs/>
          <w:rtl/>
        </w:rPr>
        <w:t xml:space="preserve">خيار:</w:t>
      </w:r>
      <w:r>
        <w:rPr>
          <w:rtl/>
        </w:rPr>
        <w:t xml:space="preserve"> يجوز للوكيل أن يوكّل غيره في حدود </w:t>
      </w:r>
      <w:r>
        <w:rPr>
          <w:highlight w:val="yellow"/>
          <w:rtl/>
        </w:rPr>
        <w:t xml:space="preserve">[</w:t>
      </w:r>
      <w:r>
        <w:rPr>
          <w:highlight w:val="yellow"/>
          <w:rtl/>
        </w:rPr>
        <w:t xml:space="preserve">●</w:t>
      </w:r>
      <w:r>
        <w:rPr>
          <w:highlight w:val="yellow"/>
          <w:rtl/>
        </w:rPr>
        <w:t xml:space="preserve">]</w:t>
      </w:r>
      <w:r>
        <w:rPr>
          <w:rtl/>
        </w:rPr>
        <w:t xml:space="preserve">، ويبقى مسؤولاً عن اختياره.</w:t>
      </w:r>
    </w:p>
    <w:p>
      <w:pPr>
        <w:pStyle w:val="Heading1"/>
        <w:bidi/>
      </w:pPr>
      <w:commentRangeStart w:id="5"/>
      <w:r>
        <w:rPr>
          <w:rtl/>
        </w:rPr>
        <w:t xml:space="preserve">البند (6): المدة والانتهاء</w:t>
      </w:r>
      <w:commentRangeEnd w:id="5"/>
      <w:r>
        <w:rPr>
          <w:rtl/>
        </w:rPr>
        <w:commentReference w:id="5"/>
      </w:r>
    </w:p>
    <w:p>
      <w:pPr>
        <w:bidi/>
      </w:pPr>
      <w:r>
        <w:rPr>
          <w:rtl/>
        </w:rPr>
        <w:t xml:space="preserve">تسري هذه الوكالة من </w:t>
      </w:r>
      <w:r>
        <w:rPr>
          <w:highlight w:val="yellow"/>
          <w:rtl/>
        </w:rPr>
        <w:t xml:space="preserve">[</w:t>
      </w:r>
      <w:r>
        <w:rPr>
          <w:highlight w:val="yellow"/>
          <w:rtl/>
        </w:rPr>
        <w:t xml:space="preserve">التاريخ</w:t>
      </w:r>
      <w:r>
        <w:rPr>
          <w:highlight w:val="yellow"/>
          <w:rtl/>
        </w:rPr>
        <w:t xml:space="preserve">]</w:t>
      </w:r>
      <w:r>
        <w:rPr>
          <w:rtl/>
        </w:rPr>
        <w:t xml:space="preserve"> إلى </w:t>
      </w:r>
      <w:r>
        <w:rPr>
          <w:highlight w:val="yellow"/>
          <w:rtl/>
        </w:rPr>
        <w:t xml:space="preserve">[</w:t>
      </w:r>
      <w:r>
        <w:rPr>
          <w:highlight w:val="yellow"/>
          <w:rtl/>
        </w:rPr>
        <w:t xml:space="preserve">التاريخ أو الحدث</w:t>
      </w:r>
      <w:r>
        <w:rPr>
          <w:highlight w:val="yellow"/>
          <w:rtl/>
        </w:rPr>
        <w:t xml:space="preserve">]</w:t>
      </w:r>
      <w:r>
        <w:rPr>
          <w:rtl/>
        </w:rPr>
        <w:t xml:space="preserve">، ما لم تنتهِ قبل ذلك بالعزل أو الفسخ أو الوفاة.</w:t>
      </w:r>
    </w:p>
    <w:p>
      <w:pPr>
        <w:pStyle w:val="Heading1"/>
        <w:bidi/>
      </w:pPr>
      <w:commentRangeStart w:id="6"/>
      <w:r>
        <w:rPr>
          <w:rtl/>
        </w:rPr>
        <w:t xml:space="preserve">البند (7): العزل والفسخ</w:t>
      </w:r>
      <w:commentRangeEnd w:id="6"/>
      <w:r>
        <w:rPr>
          <w:rtl/>
        </w:rPr>
        <w:commentReference w:id="6"/>
      </w:r>
    </w:p>
    <w:p>
      <w:pPr>
        <w:bidi/>
      </w:pPr>
      <w:r>
        <w:rPr>
          <w:rtl/>
        </w:rPr>
        <w:t xml:space="preserve">يجوز للموكِّل عزل الوكيل بإخطار مكتوب. ويجوز للوكيل أن يفسخ نفسه بإخطار مكتوب. وأبلغوا الطرف الآخر، ومن يتعامل مع الوكيل، متى أمكن.</w:t>
      </w:r>
    </w:p>
    <w:p>
      <w:pPr>
        <w:pStyle w:val="Heading1"/>
        <w:bidi/>
      </w:pPr>
      <w:r>
        <w:rPr>
          <w:rtl/>
        </w:rPr>
        <w:t xml:space="preserve">البند (8): كيف تُستخدم هذه المسودة</w:t>
      </w:r>
    </w:p>
    <w:p>
      <w:pPr>
        <w:bidi/>
      </w:pPr>
      <w:r>
        <w:rPr>
          <w:rtl/>
        </w:rPr>
        <w:t xml:space="preserve">استخدموا هذه المسودة لضبط الصياغة. والوكالة التي يُعمل بها هي الصادرة من ناجز أو لدى الكاتب العدل المختص. وإذا تعارض النص العربي والإنجليزي فالعربي هو المقدَّم في السعودية. وهذه نقطة بداية. راجعوا النص مع محامٍ مرخّص في الدولة المعنية قبل الاستخدام.</w:t>
      </w:r>
    </w:p>
    <w:p>
      <w:pPr>
        <w:pBdr>
          <w:top w:val="single" w:color="888888" w:sz="6" w:space="6"/>
          <w:left w:val="single" w:color="888888" w:sz="6" w:space="6"/>
          <w:bottom w:val="single" w:color="888888" w:sz="6" w:space="6"/>
          <w:right w:val="single" w:color="888888" w:sz="6" w:space="6"/>
        </w:pBdr>
        <w:bidi/>
        <w:spacing w:after="120"/>
      </w:pPr>
      <w:r>
        <w:rPr>
          <w:b/>
          <w:bCs/>
          <w:rtl/>
        </w:rPr>
        <w:t xml:space="preserve">الموكِّل:</w:t>
      </w:r>
      <w:r>
        <w:rPr>
          <w:rtl/>
        </w:rPr>
        <w:t xml:space="preserve"> الاسم </w:t>
      </w:r>
      <w:r>
        <w:rPr>
          <w:highlight w:val="yellow"/>
          <w:rtl/>
        </w:rPr>
        <w:t xml:space="preserve">[</w:t>
      </w:r>
      <w:r>
        <w:rPr>
          <w:highlight w:val="yellow"/>
          <w:rtl/>
        </w:rPr>
        <w:t xml:space="preserve">●</w:t>
      </w:r>
      <w:r>
        <w:rPr>
          <w:highlight w:val="yellow"/>
          <w:rtl/>
        </w:rPr>
        <w:t xml:space="preserve">]</w:t>
      </w:r>
      <w:r>
        <w:rPr>
          <w:rtl/>
        </w:rPr>
        <w:t xml:space="preserve"> · الهوية </w:t>
      </w:r>
      <w:r>
        <w:rPr>
          <w:highlight w:val="yellow"/>
          <w:rtl/>
        </w:rPr>
        <w:t xml:space="preserve">[</w:t>
      </w:r>
      <w:r>
        <w:rPr>
          <w:highlight w:val="yellow"/>
          <w:rtl/>
        </w:rPr>
        <w:t xml:space="preserve">●</w:t>
      </w:r>
      <w:r>
        <w:rPr>
          <w:highlight w:val="yellow"/>
          <w:rtl/>
        </w:rPr>
        <w:t xml:space="preserve">]</w:t>
      </w:r>
      <w:r>
        <w:rPr>
          <w:rtl/>
        </w:rPr>
        <w:t xml:space="preserve"> · التوقيع </w:t>
      </w:r>
      <w:r>
        <w:rPr>
          <w:highlight w:val="yellow"/>
          <w:rtl/>
        </w:rPr>
        <w:t xml:space="preserve">[</w:t>
      </w:r>
      <w:r>
        <w:rPr>
          <w:highlight w:val="yellow"/>
          <w:rtl/>
        </w:rPr>
        <w:t xml:space="preserve">●</w:t>
      </w:r>
      <w:r>
        <w:rPr>
          <w:highlight w:val="yellow"/>
          <w:rtl/>
        </w:rPr>
        <w:t xml:space="preserve">]</w:t>
      </w:r>
      <w:r>
        <w:rPr>
          <w:rtl/>
        </w:rPr>
        <w:t xml:space="preserve"> · التاريخ </w:t>
      </w:r>
      <w:r>
        <w:rPr>
          <w:highlight w:val="yellow"/>
          <w:rtl/>
        </w:rPr>
        <w:t xml:space="preserve">[</w:t>
      </w:r>
      <w:r>
        <w:rPr>
          <w:highlight w:val="yellow"/>
          <w:rtl/>
        </w:rPr>
        <w:t xml:space="preserve">●</w:t>
      </w:r>
      <w:r>
        <w:rPr>
          <w:highlight w:val="yellow"/>
          <w:rtl/>
        </w:rPr>
        <w:t xml:space="preserve">]</w:t>
      </w:r>
    </w:p>
    <w:p>
      <w:pPr>
        <w:pBdr>
          <w:top w:val="single" w:color="888888" w:sz="6" w:space="6"/>
          <w:left w:val="single" w:color="888888" w:sz="6" w:space="6"/>
          <w:bottom w:val="single" w:color="888888" w:sz="6" w:space="6"/>
          <w:right w:val="single" w:color="888888" w:sz="6" w:space="6"/>
        </w:pBdr>
        <w:bidi/>
        <w:spacing w:after="120"/>
      </w:pPr>
      <w:r>
        <w:rPr>
          <w:b/>
          <w:bCs/>
          <w:rtl/>
        </w:rPr>
        <w:t xml:space="preserve">الوكيل:</w:t>
      </w:r>
      <w:r>
        <w:rPr>
          <w:rtl/>
        </w:rPr>
        <w:t xml:space="preserve"> الاسم </w:t>
      </w:r>
      <w:r>
        <w:rPr>
          <w:highlight w:val="yellow"/>
          <w:rtl/>
        </w:rPr>
        <w:t xml:space="preserve">[</w:t>
      </w:r>
      <w:r>
        <w:rPr>
          <w:highlight w:val="yellow"/>
          <w:rtl/>
        </w:rPr>
        <w:t xml:space="preserve">●</w:t>
      </w:r>
      <w:r>
        <w:rPr>
          <w:highlight w:val="yellow"/>
          <w:rtl/>
        </w:rPr>
        <w:t xml:space="preserve">]</w:t>
      </w:r>
      <w:r>
        <w:rPr>
          <w:rtl/>
        </w:rPr>
        <w:t xml:space="preserve"> · الهوية </w:t>
      </w:r>
      <w:r>
        <w:rPr>
          <w:highlight w:val="yellow"/>
          <w:rtl/>
        </w:rPr>
        <w:t xml:space="preserve">[</w:t>
      </w:r>
      <w:r>
        <w:rPr>
          <w:highlight w:val="yellow"/>
          <w:rtl/>
        </w:rPr>
        <w:t xml:space="preserve">●</w:t>
      </w:r>
      <w:r>
        <w:rPr>
          <w:highlight w:val="yellow"/>
          <w:rtl/>
        </w:rPr>
        <w:t xml:space="preserve">]</w:t>
      </w:r>
      <w:r>
        <w:rPr>
          <w:rtl/>
        </w:rPr>
        <w:t xml:space="preserve"> · التوقيع </w:t>
      </w:r>
      <w:r>
        <w:rPr>
          <w:highlight w:val="yellow"/>
          <w:rtl/>
        </w:rPr>
        <w:t xml:space="preserve">[</w:t>
      </w:r>
      <w:r>
        <w:rPr>
          <w:highlight w:val="yellow"/>
          <w:rtl/>
        </w:rPr>
        <w:t xml:space="preserve">●</w:t>
      </w:r>
      <w:r>
        <w:rPr>
          <w:highlight w:val="yellow"/>
          <w:rtl/>
        </w:rPr>
        <w:t xml:space="preserve">]</w:t>
      </w:r>
      <w:r>
        <w:rPr>
          <w:rtl/>
        </w:rPr>
        <w:t xml:space="preserve"> · التاريخ </w:t>
      </w:r>
      <w:r>
        <w:rPr>
          <w:highlight w:val="yellow"/>
          <w:rtl/>
        </w:rPr>
        <w:t xml:space="preserve">[</w:t>
      </w:r>
      <w:r>
        <w:rPr>
          <w:highlight w:val="yellow"/>
          <w:rtl/>
        </w:rPr>
        <w:t xml:space="preserve">●</w:t>
      </w:r>
      <w:r>
        <w:rPr>
          <w:highlight w:val="yellow"/>
          <w:rtl/>
        </w:rPr>
        <w:t xml:space="preserve">]</w:t>
      </w:r>
    </w:p>
    <w:p>
      <w:pPr>
        <w:pStyle w:val="Heading1"/>
        <w:pageBreakBefore/>
        <w:bidi/>
      </w:pPr>
      <w:r>
        <w:rPr>
          <w:rtl/>
        </w:rPr>
        <w:t xml:space="preserve">ملاحظات السعودية</w:t>
      </w:r>
    </w:p>
    <w:p>
      <w:pPr>
        <w:bidi/>
      </w:pPr>
      <w:r>
        <w:rPr>
          <w:rtl/>
        </w:rPr>
        <w:t xml:space="preserve">ما تثبته بطاقة خدمة وزارة العدل ونظام المعاملات المدنية.</w:t>
      </w:r>
      <w:r>
        <w:rPr>
          <w:rtl/>
        </w:rPr>
        <w:t xml:space="preserve"> [1][7]</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البند</w:t>
            </w:r>
          </w:p>
        </w:tc>
        <w:tc>
          <w:tcPr>
            <w:shd w:fill="EDEDED" w:color="auto" w:val="clear"/>
            <w:tcMar>
              <w:top w:type="dxa" w:w="80"/>
              <w:left w:type="dxa" w:w="100"/>
              <w:bottom w:type="dxa" w:w="80"/>
              <w:right w:type="dxa" w:w="100"/>
            </w:tcMar>
          </w:tcPr>
          <w:p>
            <w:pPr>
              <w:bidi/>
              <w:spacing w:after="0"/>
            </w:pPr>
            <w:r>
              <w:rPr>
                <w:b/>
                <w:bCs/>
                <w:sz w:val="18"/>
                <w:szCs w:val="18"/>
                <w:rtl/>
              </w:rPr>
              <w:t xml:space="preserve">ما يثبته النص</w:t>
            </w:r>
          </w:p>
        </w:tc>
      </w:tr>
      <w:tr>
        <w:trPr>
          <w:cantSplit/>
        </w:trPr>
        <w:tc>
          <w:tcPr>
            <w:tcMar>
              <w:top w:type="dxa" w:w="80"/>
              <w:left w:type="dxa" w:w="100"/>
              <w:bottom w:type="dxa" w:w="80"/>
              <w:right w:type="dxa" w:w="100"/>
            </w:tcMar>
          </w:tcPr>
          <w:p>
            <w:pPr>
              <w:bidi/>
              <w:spacing w:after="0"/>
            </w:pPr>
            <w:r>
              <w:rPr>
                <w:b w:val="false"/>
                <w:sz w:val="18"/>
                <w:szCs w:val="18"/>
                <w:rtl/>
              </w:rPr>
              <w:t xml:space="preserve">الإصدار</w:t>
            </w:r>
          </w:p>
        </w:tc>
        <w:tc>
          <w:tcPr>
            <w:tcMar>
              <w:top w:type="dxa" w:w="80"/>
              <w:left w:type="dxa" w:w="100"/>
              <w:bottom w:type="dxa" w:w="80"/>
              <w:right w:type="dxa" w:w="100"/>
            </w:tcMar>
          </w:tcPr>
          <w:p>
            <w:pPr>
              <w:bidi/>
              <w:spacing w:after="0"/>
            </w:pPr>
            <w:r>
              <w:rPr>
                <w:b w:val="false"/>
                <w:sz w:val="18"/>
                <w:szCs w:val="18"/>
                <w:rtl/>
              </w:rPr>
              <w:t xml:space="preserve">خدمة إلكترونية تُصدر الوكالة عبر ناجز من غير زيارة كتابة العدل.</w:t>
            </w:r>
            <w:r>
              <w:rPr>
                <w:b w:val="false"/>
                <w:sz w:val="18"/>
                <w:szCs w:val="18"/>
                <w:rtl/>
              </w:rPr>
              <w:t xml:space="preserve"> [1]</w:t>
            </w:r>
          </w:p>
        </w:tc>
      </w:tr>
      <w:tr>
        <w:trPr>
          <w:cantSplit/>
        </w:trPr>
        <w:tc>
          <w:tcPr>
            <w:tcMar>
              <w:top w:type="dxa" w:w="80"/>
              <w:left w:type="dxa" w:w="100"/>
              <w:bottom w:type="dxa" w:w="80"/>
              <w:right w:type="dxa" w:w="100"/>
            </w:tcMar>
          </w:tcPr>
          <w:p>
            <w:pPr>
              <w:bidi/>
              <w:spacing w:after="0"/>
            </w:pPr>
            <w:r>
              <w:rPr>
                <w:b w:val="false"/>
                <w:sz w:val="18"/>
                <w:szCs w:val="18"/>
                <w:rtl/>
              </w:rPr>
              <w:t xml:space="preserve">الألفاظ العامة</w:t>
            </w:r>
          </w:p>
        </w:tc>
        <w:tc>
          <w:tcPr>
            <w:tcMar>
              <w:top w:type="dxa" w:w="80"/>
              <w:left w:type="dxa" w:w="100"/>
              <w:bottom w:type="dxa" w:w="80"/>
              <w:right w:type="dxa" w:w="100"/>
            </w:tcMar>
          </w:tcPr>
          <w:p>
            <w:pPr>
              <w:bidi/>
              <w:spacing w:after="0"/>
            </w:pPr>
            <w:r>
              <w:rPr>
                <w:b w:val="false"/>
                <w:sz w:val="18"/>
                <w:szCs w:val="18"/>
                <w:rtl/>
              </w:rPr>
              <w:t xml:space="preserve">الوكالة بألفاظ عامة لا تعيّن نوع التصرف غير صحيحة (المادة 482).</w:t>
            </w:r>
            <w:r>
              <w:rPr>
                <w:b w:val="false"/>
                <w:sz w:val="18"/>
                <w:szCs w:val="18"/>
                <w:rtl/>
              </w:rPr>
              <w:t xml:space="preserve"> [7]</w:t>
            </w:r>
          </w:p>
        </w:tc>
      </w:tr>
      <w:tr>
        <w:trPr>
          <w:cantSplit/>
        </w:trPr>
        <w:tc>
          <w:tcPr>
            <w:tcMar>
              <w:top w:type="dxa" w:w="80"/>
              <w:left w:type="dxa" w:w="100"/>
              <w:bottom w:type="dxa" w:w="80"/>
              <w:right w:type="dxa" w:w="100"/>
            </w:tcMar>
          </w:tcPr>
          <w:p>
            <w:pPr>
              <w:bidi/>
              <w:spacing w:after="0"/>
            </w:pPr>
            <w:r>
              <w:rPr>
                <w:b w:val="false"/>
                <w:sz w:val="18"/>
                <w:szCs w:val="18"/>
                <w:rtl/>
              </w:rPr>
              <w:t xml:space="preserve">ما جاوز الإدارة</w:t>
            </w:r>
          </w:p>
        </w:tc>
        <w:tc>
          <w:tcPr>
            <w:tcMar>
              <w:top w:type="dxa" w:w="80"/>
              <w:left w:type="dxa" w:w="100"/>
              <w:bottom w:type="dxa" w:w="80"/>
              <w:right w:type="dxa" w:w="100"/>
            </w:tcMar>
          </w:tcPr>
          <w:p>
            <w:pPr>
              <w:bidi/>
              <w:spacing w:after="0"/>
            </w:pPr>
            <w:r>
              <w:rPr>
                <w:b w:val="false"/>
                <w:sz w:val="18"/>
                <w:szCs w:val="18"/>
                <w:rtl/>
              </w:rPr>
              <w:t xml:space="preserve">كل تصرف يجاوز الإدارة يحتاج وكالة خاصة (المادة 484).</w:t>
            </w:r>
            <w:r>
              <w:rPr>
                <w:b w:val="false"/>
                <w:sz w:val="18"/>
                <w:szCs w:val="18"/>
                <w:rtl/>
              </w:rPr>
              <w:t xml:space="preserve"> [7]</w:t>
            </w:r>
          </w:p>
        </w:tc>
      </w:tr>
      <w:tr>
        <w:trPr>
          <w:cantSplit/>
        </w:trPr>
        <w:tc>
          <w:tcPr>
            <w:tcMar>
              <w:top w:type="dxa" w:w="80"/>
              <w:left w:type="dxa" w:w="100"/>
              <w:bottom w:type="dxa" w:w="80"/>
              <w:right w:type="dxa" w:w="100"/>
            </w:tcMar>
          </w:tcPr>
          <w:p>
            <w:pPr>
              <w:bidi/>
              <w:spacing w:after="0"/>
            </w:pPr>
            <w:r>
              <w:rPr>
                <w:b w:val="false"/>
                <w:sz w:val="18"/>
                <w:szCs w:val="18"/>
                <w:rtl/>
              </w:rPr>
              <w:t xml:space="preserve">المدة</w:t>
            </w:r>
          </w:p>
        </w:tc>
        <w:tc>
          <w:tcPr>
            <w:tcMar>
              <w:top w:type="dxa" w:w="80"/>
              <w:left w:type="dxa" w:w="100"/>
              <w:bottom w:type="dxa" w:w="80"/>
              <w:right w:type="dxa" w:w="100"/>
            </w:tcMar>
          </w:tcPr>
          <w:p>
            <w:pPr>
              <w:bidi/>
              <w:spacing w:after="0"/>
            </w:pPr>
            <w:r>
              <w:rPr>
                <w:b w:val="false"/>
                <w:sz w:val="18"/>
                <w:szCs w:val="18"/>
                <w:rtl/>
              </w:rPr>
              <w:t xml:space="preserve">الوكالة الإلكترونية لا تتجاوز سنة.</w:t>
            </w:r>
            <w:r>
              <w:rPr>
                <w:b w:val="false"/>
                <w:sz w:val="18"/>
                <w:szCs w:val="18"/>
                <w:rtl/>
              </w:rPr>
              <w:t xml:space="preserve"> [1]</w:t>
            </w:r>
          </w:p>
        </w:tc>
      </w:tr>
    </w:tbl>
    <w:p>
      <w:pPr>
        <w:bidi/>
      </w:pPr>
    </w:p>
    <w:p>
      <w:pPr>
        <w:pStyle w:val="Heading1"/>
        <w:pageBreakBefore/>
        <w:bidi/>
      </w:pPr>
      <w:r>
        <w:rPr>
          <w:rtl/>
        </w:rPr>
        <w:t xml:space="preserve">ملاحظات الإمارات</w:t>
      </w:r>
    </w:p>
    <w:p>
      <w:pPr>
        <w:bidi/>
      </w:pPr>
      <w:r>
        <w:rPr>
          <w:rtl/>
        </w:rPr>
        <w:t xml:space="preserve">ما قُرئ في صفحة الكاتب العدل لدى دائرة القضاء في أبوظبي.</w:t>
      </w:r>
      <w:r>
        <w:rPr>
          <w:rtl/>
        </w:rPr>
        <w:t xml:space="preserve"> [5][6]</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البند</w:t>
            </w:r>
          </w:p>
        </w:tc>
        <w:tc>
          <w:tcPr>
            <w:shd w:fill="EDEDED" w:color="auto" w:val="clear"/>
            <w:tcMar>
              <w:top w:type="dxa" w:w="80"/>
              <w:left w:type="dxa" w:w="100"/>
              <w:bottom w:type="dxa" w:w="80"/>
              <w:right w:type="dxa" w:w="100"/>
            </w:tcMar>
          </w:tcPr>
          <w:p>
            <w:pPr>
              <w:bidi/>
              <w:spacing w:after="0"/>
            </w:pPr>
            <w:r>
              <w:rPr>
                <w:b/>
                <w:bCs/>
                <w:sz w:val="18"/>
                <w:szCs w:val="18"/>
                <w:rtl/>
              </w:rPr>
              <w:t xml:space="preserve">ما يُعمل به</w:t>
            </w:r>
          </w:p>
        </w:tc>
      </w:tr>
      <w:tr>
        <w:trPr>
          <w:cantSplit/>
        </w:trPr>
        <w:tc>
          <w:tcPr>
            <w:tcMar>
              <w:top w:type="dxa" w:w="80"/>
              <w:left w:type="dxa" w:w="100"/>
              <w:bottom w:type="dxa" w:w="80"/>
              <w:right w:type="dxa" w:w="100"/>
            </w:tcMar>
          </w:tcPr>
          <w:p>
            <w:pPr>
              <w:bidi/>
              <w:spacing w:after="0"/>
            </w:pPr>
            <w:r>
              <w:rPr>
                <w:b w:val="false"/>
                <w:sz w:val="18"/>
                <w:szCs w:val="18"/>
                <w:rtl/>
              </w:rPr>
              <w:t xml:space="preserve">أبوظبي</w:t>
            </w:r>
          </w:p>
        </w:tc>
        <w:tc>
          <w:tcPr>
            <w:tcMar>
              <w:top w:type="dxa" w:w="80"/>
              <w:left w:type="dxa" w:w="100"/>
              <w:bottom w:type="dxa" w:w="80"/>
              <w:right w:type="dxa" w:w="100"/>
            </w:tcMar>
          </w:tcPr>
          <w:p>
            <w:pPr>
              <w:bidi/>
              <w:spacing w:after="0"/>
            </w:pPr>
            <w:r>
              <w:rPr>
                <w:b w:val="false"/>
                <w:sz w:val="18"/>
                <w:szCs w:val="18"/>
                <w:rtl/>
              </w:rPr>
              <w:t xml:space="preserve">الكاتب العدل يوثّق المحررات العرفية، ومنه الكاتب العدل الخاص والحكومي.</w:t>
            </w:r>
            <w:r>
              <w:rPr>
                <w:b w:val="false"/>
                <w:sz w:val="18"/>
                <w:szCs w:val="18"/>
                <w:rtl/>
              </w:rPr>
              <w:t xml:space="preserve"> [5]</w:t>
            </w:r>
          </w:p>
        </w:tc>
      </w:tr>
      <w:tr>
        <w:trPr>
          <w:cantSplit/>
        </w:trPr>
        <w:tc>
          <w:tcPr>
            <w:tcMar>
              <w:top w:type="dxa" w:w="80"/>
              <w:left w:type="dxa" w:w="100"/>
              <w:bottom w:type="dxa" w:w="80"/>
              <w:right w:type="dxa" w:w="100"/>
            </w:tcMar>
          </w:tcPr>
          <w:p>
            <w:pPr>
              <w:bidi/>
              <w:spacing w:after="0"/>
            </w:pPr>
            <w:r>
              <w:rPr>
                <w:b w:val="false"/>
                <w:sz w:val="18"/>
                <w:szCs w:val="18"/>
                <w:rtl/>
              </w:rPr>
              <w:t xml:space="preserve">الإنجليزية</w:t>
            </w:r>
          </w:p>
        </w:tc>
        <w:tc>
          <w:tcPr>
            <w:tcMar>
              <w:top w:type="dxa" w:w="80"/>
              <w:left w:type="dxa" w:w="100"/>
              <w:bottom w:type="dxa" w:w="80"/>
              <w:right w:type="dxa" w:w="100"/>
            </w:tcMar>
          </w:tcPr>
          <w:p>
            <w:pPr>
              <w:bidi/>
              <w:spacing w:after="0"/>
            </w:pPr>
            <w:r>
              <w:rPr>
                <w:b w:val="false"/>
                <w:sz w:val="18"/>
                <w:szCs w:val="18"/>
                <w:rtl/>
              </w:rPr>
              <w:t xml:space="preserve">للدائرة مكتب لخدمات التوثيق باللغة الإنجليزية.</w:t>
            </w:r>
            <w:r>
              <w:rPr>
                <w:b w:val="false"/>
                <w:sz w:val="18"/>
                <w:szCs w:val="18"/>
                <w:rtl/>
              </w:rPr>
              <w:t xml:space="preserve"> [5]</w:t>
            </w:r>
          </w:p>
        </w:tc>
      </w:tr>
      <w:tr>
        <w:trPr>
          <w:cantSplit/>
        </w:trPr>
        <w:tc>
          <w:tcPr>
            <w:tcMar>
              <w:top w:type="dxa" w:w="80"/>
              <w:left w:type="dxa" w:w="100"/>
              <w:bottom w:type="dxa" w:w="80"/>
              <w:right w:type="dxa" w:w="100"/>
            </w:tcMar>
          </w:tcPr>
          <w:p>
            <w:pPr>
              <w:bidi/>
              <w:spacing w:after="0"/>
            </w:pPr>
            <w:r>
              <w:rPr>
                <w:b w:val="false"/>
                <w:sz w:val="18"/>
                <w:szCs w:val="18"/>
                <w:rtl/>
              </w:rPr>
              <w:t xml:space="preserve">النطاق</w:t>
            </w:r>
          </w:p>
        </w:tc>
        <w:tc>
          <w:tcPr>
            <w:tcMar>
              <w:top w:type="dxa" w:w="80"/>
              <w:left w:type="dxa" w:w="100"/>
              <w:bottom w:type="dxa" w:w="80"/>
              <w:right w:type="dxa" w:w="100"/>
            </w:tcMar>
          </w:tcPr>
          <w:p>
            <w:pPr>
              <w:bidi/>
              <w:spacing w:after="0"/>
            </w:pPr>
            <w:r>
              <w:rPr>
                <w:b w:val="false"/>
                <w:sz w:val="18"/>
                <w:szCs w:val="18"/>
                <w:rtl/>
              </w:rPr>
              <w:t xml:space="preserve">مواد نطاق الوكالة العامة قيد المراجعة. لا رقم مادة لذلك النطاق.</w:t>
            </w:r>
          </w:p>
        </w:tc>
      </w:tr>
    </w:tbl>
    <w:p>
      <w:pPr>
        <w:bidi/>
      </w:pPr>
    </w:p>
    <w:p>
      <w:pPr>
        <w:pStyle w:val="Heading1"/>
        <w:pageBreakBefore/>
        <w:bidi/>
      </w:pPr>
      <w:r>
        <w:rPr>
          <w:rtl/>
        </w:rPr>
        <w:t xml:space="preserve">الملحق (1) — الصلاحيات</w:t>
      </w:r>
    </w:p>
    <w:p>
      <w:pPr>
        <w:bidi/>
      </w:pPr>
      <w:r>
        <w:rPr>
          <w:rtl/>
        </w:rPr>
        <w:t xml:space="preserve">ضعوا «نعم» أمام كل نوع صلاحية تريدون إصداره، واكتبوا حدّه. والتصرف الواحد المسمّى موضعه وكالة خاصة.</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169"/>
        <w:gridCol w:w="3169"/>
        <w:gridCol w:w="3169"/>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الصلاحية</w:t>
            </w:r>
          </w:p>
        </w:tc>
        <w:tc>
          <w:tcPr>
            <w:shd w:fill="EDEDED" w:color="auto" w:val="clear"/>
            <w:tcMar>
              <w:top w:type="dxa" w:w="80"/>
              <w:left w:type="dxa" w:w="100"/>
              <w:bottom w:type="dxa" w:w="80"/>
              <w:right w:type="dxa" w:w="100"/>
            </w:tcMar>
          </w:tcPr>
          <w:p>
            <w:pPr>
              <w:bidi/>
              <w:spacing w:after="0"/>
            </w:pPr>
            <w:r>
              <w:rPr>
                <w:b/>
                <w:bCs/>
                <w:sz w:val="18"/>
                <w:szCs w:val="18"/>
                <w:rtl/>
              </w:rPr>
              <w:t xml:space="preserve">مشمولة</w:t>
            </w:r>
          </w:p>
        </w:tc>
        <w:tc>
          <w:tcPr>
            <w:shd w:fill="EDEDED" w:color="auto" w:val="clear"/>
            <w:tcMar>
              <w:top w:type="dxa" w:w="80"/>
              <w:left w:type="dxa" w:w="100"/>
              <w:bottom w:type="dxa" w:w="80"/>
              <w:right w:type="dxa" w:w="100"/>
            </w:tcMar>
          </w:tcPr>
          <w:p>
            <w:pPr>
              <w:bidi/>
              <w:spacing w:after="0"/>
            </w:pPr>
            <w:r>
              <w:rPr>
                <w:b/>
                <w:bCs/>
                <w:sz w:val="18"/>
                <w:szCs w:val="18"/>
                <w:rtl/>
              </w:rPr>
              <w:t xml:space="preserve">الحد</w:t>
            </w:r>
          </w:p>
        </w:tc>
      </w:tr>
      <w:tr>
        <w:trPr>
          <w:cantSplit/>
        </w:trPr>
        <w:tc>
          <w:tcPr>
            <w:tcMar>
              <w:top w:type="dxa" w:w="80"/>
              <w:left w:type="dxa" w:w="100"/>
              <w:bottom w:type="dxa" w:w="80"/>
              <w:right w:type="dxa" w:w="100"/>
            </w:tcMar>
          </w:tcPr>
          <w:p>
            <w:pPr>
              <w:bidi/>
              <w:spacing w:after="0"/>
            </w:pPr>
            <w:r>
              <w:rPr>
                <w:b w:val="false"/>
                <w:sz w:val="18"/>
                <w:szCs w:val="18"/>
                <w:rtl/>
              </w:rPr>
              <w:t xml:space="preserve">المعاملات الحكومية</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نعم/لا</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الجهة أو المعاملة</w:t>
            </w:r>
            <w:r>
              <w:rPr>
                <w:b w:val="false"/>
                <w:sz w:val="18"/>
                <w:szCs w:val="18"/>
                <w:highlight w:val="yellow"/>
                <w:rtl/>
              </w:rPr>
              <w:t xml:space="preserve">]</w:t>
            </w:r>
          </w:p>
        </w:tc>
      </w:tr>
      <w:tr>
        <w:trPr>
          <w:cantSplit/>
        </w:trPr>
        <w:tc>
          <w:tcPr>
            <w:tcMar>
              <w:top w:type="dxa" w:w="80"/>
              <w:left w:type="dxa" w:w="100"/>
              <w:bottom w:type="dxa" w:w="80"/>
              <w:right w:type="dxa" w:w="100"/>
            </w:tcMar>
          </w:tcPr>
          <w:p>
            <w:pPr>
              <w:bidi/>
              <w:spacing w:after="0"/>
            </w:pPr>
            <w:r>
              <w:rPr>
                <w:b w:val="false"/>
                <w:sz w:val="18"/>
                <w:szCs w:val="18"/>
                <w:rtl/>
              </w:rPr>
              <w:t xml:space="preserve">البنوك</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نعم/لا</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الحساب أو العملية</w:t>
            </w:r>
            <w:r>
              <w:rPr>
                <w:b w:val="false"/>
                <w:sz w:val="18"/>
                <w:szCs w:val="18"/>
                <w:highlight w:val="yellow"/>
                <w:rtl/>
              </w:rPr>
              <w:t xml:space="preserve">]</w:t>
            </w:r>
          </w:p>
        </w:tc>
      </w:tr>
      <w:tr>
        <w:trPr>
          <w:cantSplit/>
        </w:trPr>
        <w:tc>
          <w:tcPr>
            <w:tcMar>
              <w:top w:type="dxa" w:w="80"/>
              <w:left w:type="dxa" w:w="100"/>
              <w:bottom w:type="dxa" w:w="80"/>
              <w:right w:type="dxa" w:w="100"/>
            </w:tcMar>
          </w:tcPr>
          <w:p>
            <w:pPr>
              <w:bidi/>
              <w:spacing w:after="0"/>
            </w:pPr>
            <w:r>
              <w:rPr>
                <w:b w:val="false"/>
                <w:sz w:val="18"/>
                <w:szCs w:val="18"/>
                <w:rtl/>
              </w:rPr>
              <w:t xml:space="preserve">المحاكم والمطالبات</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نعم/لا</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الدعوى أو نوع المطالبة</w:t>
            </w:r>
            <w:r>
              <w:rPr>
                <w:b w:val="false"/>
                <w:sz w:val="18"/>
                <w:szCs w:val="18"/>
                <w:highlight w:val="yellow"/>
                <w:rtl/>
              </w:rPr>
              <w:t xml:space="preserve">]</w:t>
            </w:r>
          </w:p>
        </w:tc>
      </w:tr>
      <w:tr>
        <w:trPr>
          <w:cantSplit/>
        </w:trPr>
        <w:tc>
          <w:tcPr>
            <w:tcMar>
              <w:top w:type="dxa" w:w="80"/>
              <w:left w:type="dxa" w:w="100"/>
              <w:bottom w:type="dxa" w:w="80"/>
              <w:right w:type="dxa" w:w="100"/>
            </w:tcMar>
          </w:tcPr>
          <w:p>
            <w:pPr>
              <w:bidi/>
              <w:spacing w:after="0"/>
            </w:pPr>
            <w:r>
              <w:rPr>
                <w:b w:val="false"/>
                <w:sz w:val="18"/>
                <w:szCs w:val="18"/>
                <w:rtl/>
              </w:rPr>
              <w:t xml:space="preserve">العقار</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نعم/لا</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العين أو التصرف</w:t>
            </w:r>
            <w:r>
              <w:rPr>
                <w:b w:val="false"/>
                <w:sz w:val="18"/>
                <w:szCs w:val="18"/>
                <w:highlight w:val="yellow"/>
                <w:rtl/>
              </w:rPr>
              <w:t xml:space="preserve">]</w:t>
            </w:r>
          </w:p>
        </w:tc>
      </w:tr>
      <w:tr>
        <w:trPr>
          <w:cantSplit/>
        </w:trPr>
        <w:tc>
          <w:tcPr>
            <w:tcMar>
              <w:top w:type="dxa" w:w="80"/>
              <w:left w:type="dxa" w:w="100"/>
              <w:bottom w:type="dxa" w:w="80"/>
              <w:right w:type="dxa" w:w="100"/>
            </w:tcMar>
          </w:tcPr>
          <w:p>
            <w:pPr>
              <w:bidi/>
              <w:spacing w:after="0"/>
            </w:pPr>
            <w:r>
              <w:rPr>
                <w:b w:val="false"/>
                <w:sz w:val="18"/>
                <w:szCs w:val="18"/>
                <w:rtl/>
              </w:rPr>
              <w:t xml:space="preserve">الشركات</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نعم/لا</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الشركة أو التصرف</w:t>
            </w:r>
            <w:r>
              <w:rPr>
                <w:b w:val="false"/>
                <w:sz w:val="18"/>
                <w:szCs w:val="18"/>
                <w:highlight w:val="yellow"/>
                <w:rtl/>
              </w:rPr>
              <w:t xml:space="preserve">]</w:t>
            </w:r>
          </w:p>
        </w:tc>
      </w:tr>
    </w:tbl>
    <w:p>
      <w:pPr>
        <w:bidi/>
      </w:pPr>
    </w:p>
    <w:p>
      <w:pPr>
        <w:pStyle w:val="Heading1"/>
        <w:pageBreakBefore/>
        <w:bidi/>
      </w:pPr>
      <w:r>
        <w:rPr>
          <w:rtl/>
        </w:rPr>
        <w:t xml:space="preserve">عن هذا النموذج</w:t>
      </w:r>
    </w:p>
    <w:p>
      <w:pPr>
        <w:bidi/>
      </w:pPr>
      <w:r>
        <w:rPr>
          <w:rtl/>
        </w:rPr>
        <w:t xml:space="preserve">هذا نموذج استرشادي وليس استشارة قانونية، ولا ينشئ علاقة محامٍ بموكّل. تتغير قواعد المحاكم وإرشادات الجهات التنظيمية والتشريعات؛ يُرجى الرجوع إلى المصادر الرسمية المرفقة ومراجعة العقد من محامٍ مختص في كل دولة معنية. آخر مراجعة: 29 أكتوبر 2026. احرص على مراجعته من محامٍ مرخّص في دولتك قبل استخدامه، وحيثما كان النموذج أو المنصة الرسمية إلزامياً فهو المعتمد.</w:t>
      </w:r>
    </w:p>
    <w:p>
      <w:pPr>
        <w:bidi/>
      </w:pPr>
      <w:r>
        <w:rPr>
          <w:b/>
          <w:bCs/>
          <w:rtl/>
        </w:rPr>
        <w:t xml:space="preserve">منهجية الإعداد:</w:t>
      </w:r>
      <w:r>
        <w:rPr>
          <w:rtl/>
        </w:rPr>
        <w:t xml:space="preserve"> أُعِدّ هذا النموذج استناداً إلى التشريعات والمنصات الحكومية الرسمية المذكورة في قسم المصادر، وروجعت كل معلومة نظامية مقابل النص الرسمي في تاريخ المراجعة. وحيثما وُجد نموذج أو منصة رسمية أشرنا إليها، وينبغي استخدامها. الأنظمة تتغير؛ فتحقّق من المصادر قبل الاستخدام، واعرض النص النهائي على محامٍ مرخّص.</w:t>
      </w:r>
    </w:p>
    <w:p>
      <w:pPr>
        <w:bidi/>
      </w:pPr>
      <w:r>
        <w:rPr>
          <w:rtl/>
        </w:rPr>
        <w:t xml:space="preserve">نص هذه الصفحة وملفات ‎.docx مرخّصة بموجب </w:t>
      </w:r>
      <w:hyperlink w:history="1" r:id="rIdhvk2t0r3v4znt1df-tj35">
        <w:r>
          <w:rPr>
            <w:rStyle w:val="Hyperlink"/>
            <w:rtl/>
          </w:rPr>
          <w:t xml:space="preserve">ترخيص المشاع الإبداعي نَسب المُصنَّف 4.0 الدولي (CC BY 4.0)</w:t>
        </w:r>
      </w:hyperlink>
      <w:r>
        <w:rPr>
          <w:rtl/>
        </w:rPr>
        <w:t xml:space="preserve">. ولا يشمل الترخيص اسم قانو وشعارها.</w:t>
      </w:r>
    </w:p>
    <w:p>
      <w:pPr>
        <w:bidi/>
      </w:pPr>
      <w:r>
        <w:rPr>
          <w:rtl/>
        </w:rPr>
        <w:t xml:space="preserve">المصدر: ‪https://www.qanu.ai/ar/نماذج/نموذج-وكالة-عامة‬ · آخر مراجعة: 29 أكتوبر 2026 · ليست استشارة قانونية · CC BY 4.0</w:t>
      </w:r>
    </w:p>
    <w:p>
      <w:pPr>
        <w:pStyle w:val="Heading2"/>
        <w:bidi/>
      </w:pPr>
      <w:r>
        <w:rPr>
          <w:rtl/>
        </w:rPr>
        <w:t xml:space="preserve">المصادر</w:t>
      </w:r>
    </w:p>
    <w:p>
      <w:pPr>
        <w:bidi/>
        <w:ind w:start="360" w:hanging="360"/>
      </w:pPr>
      <w:r>
        <w:rPr>
          <w:sz w:val="18"/>
          <w:szCs w:val="18"/>
          <w:rtl/>
        </w:rPr>
        <w:t xml:space="preserve">[1] وزارة العدل، خدمة «إصدار وكالة» الإلكترونية عبر منصة ناجز </w:t>
      </w:r>
      <w:hyperlink w:history="1" r:id="rIdrk9mluhkktdpzaz9ruq4y">
        <w:r>
          <w:rPr>
            <w:rStyle w:val="Hyperlink"/>
            <w:sz w:val="16"/>
            <w:szCs w:val="16"/>
          </w:rPr>
          <w:t xml:space="preserve">https://www.moj.gov.sa/ar/eServices/pages/3472d517-7cb4-4cd5-a6bc-2abc9751eea3.aspx</w:t>
        </w:r>
      </w:hyperlink>
    </w:p>
    <w:p>
      <w:pPr>
        <w:bidi/>
        <w:ind w:start="360" w:hanging="360"/>
      </w:pPr>
      <w:r>
        <w:rPr>
          <w:sz w:val="18"/>
          <w:szCs w:val="18"/>
          <w:rtl/>
        </w:rPr>
        <w:t xml:space="preserve">[2] منصة ناجز، بوابة الخدمات الإلكترونية لوزارة العدل </w:t>
      </w:r>
      <w:hyperlink w:history="1" r:id="rIdxtju5yh2sjs_4r1-uvxol">
        <w:r>
          <w:rPr>
            <w:rStyle w:val="Hyperlink"/>
            <w:sz w:val="16"/>
            <w:szCs w:val="16"/>
          </w:rPr>
          <w:t xml:space="preserve">https://najiz.sa/applications/landing</w:t>
        </w:r>
      </w:hyperlink>
    </w:p>
    <w:p>
      <w:pPr>
        <w:bidi/>
        <w:ind w:start="360" w:hanging="360"/>
      </w:pPr>
      <w:r>
        <w:rPr>
          <w:sz w:val="18"/>
          <w:szCs w:val="18"/>
          <w:rtl/>
        </w:rPr>
        <w:t xml:space="preserve">[3] وزارة العدل، خدمة «صحيفة دعوى» الإلكترونية عبر منصة ناجز </w:t>
      </w:r>
      <w:hyperlink w:history="1" r:id="rIdibk-cxsgajuyr4r9wmnj5">
        <w:r>
          <w:rPr>
            <w:rStyle w:val="Hyperlink"/>
            <w:sz w:val="16"/>
            <w:szCs w:val="16"/>
          </w:rPr>
          <w:t xml:space="preserve">https://www.moj.gov.sa/ar/eServices/Pages/928b8f02-19a7-482b-ba0e-29a151d9a900.aspx</w:t>
        </w:r>
      </w:hyperlink>
    </w:p>
    <w:p>
      <w:pPr>
        <w:bidi/>
        <w:ind w:start="360" w:hanging="360"/>
      </w:pPr>
      <w:r>
        <w:rPr>
          <w:sz w:val="18"/>
          <w:szCs w:val="18"/>
          <w:rtl/>
        </w:rPr>
        <w:t xml:space="preserve">[4] بوابة الأنظمة بوزارة العدل، نظام المعاملات المدنية الصادر بالمرسوم الملكي رقم (م/191) وتاريخ 29/11/1444هـ </w:t>
      </w:r>
      <w:hyperlink w:history="1" r:id="rIdiuxgruejmfg97raxxlbio">
        <w:r>
          <w:rPr>
            <w:rStyle w:val="Hyperlink"/>
            <w:sz w:val="16"/>
            <w:szCs w:val="16"/>
          </w:rPr>
          <w:t xml:space="preserve">https://laws.moj.gov.sa/ar/legislation/PBbHmywh1XMp-Kyv3NtQLg</w:t>
        </w:r>
      </w:hyperlink>
    </w:p>
    <w:p>
      <w:pPr>
        <w:bidi/>
        <w:ind w:start="360" w:hanging="360"/>
      </w:pPr>
      <w:r>
        <w:rPr>
          <w:sz w:val="18"/>
          <w:szCs w:val="18"/>
          <w:rtl/>
        </w:rPr>
        <w:t xml:space="preserve">[5] دائرة القضاء في أبوظبي، الكاتب العدل </w:t>
      </w:r>
      <w:hyperlink w:history="1" r:id="rIdy0e_fkacclsiocilr0dgk">
        <w:r>
          <w:rPr>
            <w:rStyle w:val="Hyperlink"/>
            <w:sz w:val="16"/>
            <w:szCs w:val="16"/>
          </w:rPr>
          <w:t xml:space="preserve">https://www.adjd.gov.ae/EN/Pages/notarypublics.aspx</w:t>
        </w:r>
      </w:hyperlink>
    </w:p>
    <w:p>
      <w:pPr>
        <w:bidi/>
        <w:ind w:start="360" w:hanging="360"/>
      </w:pPr>
      <w:r>
        <w:rPr>
          <w:sz w:val="18"/>
          <w:szCs w:val="18"/>
          <w:rtl/>
        </w:rPr>
        <w:t xml:space="preserve">[6] وزارة العدل الإماراتية، نظام الكاتب العدل الإلكتروني </w:t>
      </w:r>
      <w:hyperlink w:history="1" r:id="rIdb2rpt9vpo-ou6dbmjf07v">
        <w:r>
          <w:rPr>
            <w:rStyle w:val="Hyperlink"/>
            <w:sz w:val="16"/>
            <w:szCs w:val="16"/>
          </w:rPr>
          <w:t xml:space="preserve">https://www.moj.gov.ae/en/services/esystems/e-notary.aspx</w:t>
        </w:r>
      </w:hyperlink>
    </w:p>
    <w:p>
      <w:pPr>
        <w:bidi/>
        <w:ind w:start="360" w:hanging="360"/>
      </w:pPr>
      <w:r>
        <w:rPr>
          <w:sz w:val="18"/>
          <w:szCs w:val="18"/>
          <w:rtl/>
        </w:rPr>
        <w:t xml:space="preserve">[7] هيئة الخبراء بمجلس الوزراء، نظام المعاملات المدنية الصادر بالمرسوم الملكي رقم (م/191) وتاريخ 29/11/1444هـ </w:t>
      </w:r>
      <w:hyperlink w:history="1" r:id="rIdpgkpisrts7okvwsvubqqs">
        <w:r>
          <w:rPr>
            <w:rStyle w:val="Hyperlink"/>
            <w:sz w:val="16"/>
            <w:szCs w:val="16"/>
          </w:rPr>
          <w:t xml:space="preserve">https://laws.boe.gov.sa/BoeLaws/Laws/LawDetails/655fdb42-8c96-422b-b8c4-b04f0095c94c/1</w:t>
        </w:r>
      </w:hyperlink>
    </w:p>
    <w:p>
      <w:pPr>
        <w:bidi/>
        <w:ind w:start="360" w:hanging="360"/>
      </w:pPr>
      <w:r>
        <w:rPr>
          <w:sz w:val="18"/>
          <w:szCs w:val="18"/>
          <w:rtl/>
        </w:rPr>
        <w:t xml:space="preserve">[8] قانون المعاملات المدنية، المرسوم السلطاني رقم 29/2013 (قُرئ النص في qanoon.om وهي مرآة غير حكومية؛ الإدراج الرسمي لدى وزارة العدل والشؤون القانونية) </w:t>
      </w:r>
      <w:hyperlink w:history="1" r:id="rId-q2jki4ixaxapdhbuvz9z">
        <w:r>
          <w:rPr>
            <w:rStyle w:val="Hyperlink"/>
            <w:sz w:val="16"/>
            <w:szCs w:val="16"/>
          </w:rPr>
          <w:t xml:space="preserve">https://qanoon.om/p/2013/rd2013029/</w:t>
        </w:r>
      </w:hyperlink>
    </w:p>
    <w:sectPr>
      <w:headerReference w:type="default" r:id="rId7"/>
      <w:headerReference w:type="first" r:id="rId8"/>
      <w:footerReference w:type="default" r:id="rId9"/>
      <w:footerReference w:type="first" r:id="rId10"/>
      <w:pgSz w:w="11906" w:h="16838" w:orient="portrait"/>
      <w:pgMar w:top="1300" w:right="1200" w:bottom="1100" w:left="1200" w:header="500" w:footer="500" w:gutter="0"/>
      <w:pgNumType/>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Q" w:author="Qanu" w:date="2026-10-29T00:00:00.000Z">
    <w:p>
      <w:pPr>
        <w:bidi/>
      </w:pPr>
      <w:r>
        <w:rPr>
          <w:b/>
          <w:bCs/>
          <w:rtl/>
        </w:rPr>
        <w:t xml:space="preserve">ملاحظة صياغة</w:t>
      </w:r>
    </w:p>
    <w:p>
      <w:pPr>
        <w:bidi/>
      </w:pPr>
      <w:r>
        <w:rPr>
          <w:rtl/>
        </w:rPr>
        <w:t xml:space="preserve">تشترط خدمة الإصدار الإلكترونية أن يكون المستفيد سعودياً أو مقيماً بهوية سارية، وأن يكون عمره أكبر من ثمانية عشر عاماً، وأن يكون كامل الأهلية، وأن يكون لديه حساب في النفاذ الوطني. وإذا كانت الصفة «ممثل شركة» أو «مالك مؤسسة» فالحساب حساب ناجز أعمال.</w:t>
      </w:r>
      <w:r>
        <w:rPr>
          <w:rtl/>
        </w:rPr>
        <w:t xml:space="preserve"> [1]</w:t>
      </w:r>
    </w:p>
  </w:comment>
  <w:comment w:id="1" w:initials="Q" w:author="Qanu" w:date="2026-10-29T00:00:00.000Z">
    <w:p>
      <w:pPr>
        <w:bidi/>
      </w:pPr>
      <w:r>
        <w:rPr>
          <w:b/>
          <w:bCs/>
          <w:rtl/>
        </w:rPr>
        <w:t xml:space="preserve">ملاحظة صياغة</w:t>
      </w:r>
    </w:p>
    <w:p>
      <w:pPr>
        <w:bidi/>
      </w:pPr>
      <w:r>
        <w:rPr>
          <w:rtl/>
        </w:rPr>
        <w:t xml:space="preserve">في السعودية لا تصح الوكالة بألفاظ عامة لا تعيّن نوع التصرف (المادة 482). علّموا الأنواع.</w:t>
      </w:r>
      <w:r>
        <w:rPr>
          <w:rtl/>
        </w:rPr>
        <w:t xml:space="preserve"> [7]</w:t>
      </w:r>
      <w:r>
        <w:rPr>
          <w:rtl/>
        </w:rPr>
        <w:t xml:space="preserve"> وفي ناجز يختار الموكِّل البنود بنداً بنداً. والوكالة الصادرة هي التي تُلزم، لا هذه المسودة.</w:t>
      </w:r>
      <w:r>
        <w:rPr>
          <w:rtl/>
        </w:rPr>
        <w:t xml:space="preserve"> [1]</w:t>
      </w:r>
    </w:p>
  </w:comment>
  <w:comment w:id="2" w:initials="Q" w:author="Qanu" w:date="2026-10-29T00:00:00.000Z">
    <w:p>
      <w:pPr>
        <w:bidi/>
      </w:pPr>
      <w:r>
        <w:rPr>
          <w:b/>
          <w:bCs/>
          <w:rtl/>
        </w:rPr>
        <w:t xml:space="preserve">ملاحظة صياغة</w:t>
      </w:r>
    </w:p>
    <w:p>
      <w:pPr>
        <w:bidi/>
      </w:pPr>
      <w:r>
        <w:rPr>
          <w:rtl/>
        </w:rPr>
        <w:t xml:space="preserve">لا تتركوا صلاحية مفتوحة إذا أردتم معاملة واحدة. تلك وكالة خاصة.</w:t>
      </w:r>
      <w:r>
        <w:rPr>
          <w:rtl/>
        </w:rPr>
        <w:t xml:space="preserve"> [1]</w:t>
      </w:r>
    </w:p>
  </w:comment>
  <w:comment w:id="3" w:initials="Q" w:author="Qanu" w:date="2026-10-29T00:00:00.000Z">
    <w:p>
      <w:pPr>
        <w:bidi/>
      </w:pPr>
      <w:r>
        <w:rPr>
          <w:b/>
          <w:bCs/>
          <w:rtl/>
        </w:rPr>
        <w:t xml:space="preserve">ملاحظة صياغة</w:t>
      </w:r>
    </w:p>
    <w:p>
      <w:pPr>
        <w:bidi/>
      </w:pPr>
      <w:r>
        <w:rPr>
          <w:rtl/>
        </w:rPr>
        <w:t xml:space="preserve">في عُمان لا تشمل الوكالة العامة التبرعات والصلح والإبراء والتحكيم والقرض والأحوال الشخصية ما لم تُكتب (المادة 677).</w:t>
      </w:r>
      <w:r>
        <w:rPr>
          <w:rtl/>
        </w:rPr>
        <w:t xml:space="preserve"> [8]</w:t>
      </w:r>
    </w:p>
  </w:comment>
  <w:comment w:id="4" w:initials="Q" w:author="Qanu" w:date="2026-10-29T00:00:00.000Z">
    <w:p>
      <w:pPr>
        <w:bidi/>
      </w:pPr>
      <w:r>
        <w:rPr>
          <w:b/>
          <w:bCs/>
          <w:rtl/>
        </w:rPr>
        <w:t xml:space="preserve">ملاحظة صياغة</w:t>
      </w:r>
    </w:p>
    <w:p>
      <w:pPr>
        <w:bidi/>
      </w:pPr>
      <w:r>
        <w:rPr>
          <w:rtl/>
        </w:rPr>
        <w:t xml:space="preserve">احذفوا الخيار الذي لن تُصدروه.</w:t>
      </w:r>
      <w:r>
        <w:rPr>
          <w:rtl/>
        </w:rPr>
        <w:t xml:space="preserve"> [1]</w:t>
      </w:r>
    </w:p>
  </w:comment>
  <w:comment w:id="5" w:initials="Q" w:author="Qanu" w:date="2026-10-29T00:00:00.000Z">
    <w:p>
      <w:pPr>
        <w:bidi/>
      </w:pPr>
      <w:r>
        <w:rPr>
          <w:b/>
          <w:bCs/>
          <w:rtl/>
        </w:rPr>
        <w:t xml:space="preserve">ملاحظة صياغة</w:t>
      </w:r>
    </w:p>
    <w:p>
      <w:pPr>
        <w:bidi/>
      </w:pPr>
      <w:r>
        <w:rPr>
          <w:rtl/>
        </w:rPr>
        <w:t xml:space="preserve">الوكالة الإلكترونية في ناجز لا تتجاوز سنة.</w:t>
      </w:r>
      <w:r>
        <w:rPr>
          <w:rtl/>
        </w:rPr>
        <w:t xml:space="preserve"> [1]</w:t>
      </w:r>
    </w:p>
  </w:comment>
  <w:comment w:id="6" w:initials="Q" w:author="Qanu" w:date="2026-10-29T00:00:00.000Z">
    <w:p>
      <w:pPr>
        <w:bidi/>
      </w:pPr>
      <w:r>
        <w:rPr>
          <w:b/>
          <w:bCs/>
          <w:rtl/>
        </w:rPr>
        <w:t xml:space="preserve">ملاحظة صياغة</w:t>
      </w:r>
    </w:p>
    <w:p>
      <w:pPr>
        <w:bidi/>
      </w:pPr>
      <w:r>
        <w:rPr>
          <w:rtl/>
        </w:rPr>
        <w:t xml:space="preserve">في الخدمة الإلكترونية يجوز لأي طرف أن يفسخ نفسه جزئياً عبر ناجز أو التطبيق. وتنفسخ آلياً إذا توفي أحد أطرافها.</w:t>
      </w:r>
      <w:r>
        <w:rPr>
          <w:rtl/>
        </w:rPr>
        <w:t xml:space="preserve"> [1]</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BM Plex Sans Arabic">
    <w:charset w:val="B2"/>
    <w:family w:val="auto"/>
    <w:pitch w:val="variable"/>
    <w:sig w:usb0="E0002AFF" w:usb1="C000247B" w:usb2="00000009" w:usb3="00000000" w:csb0="000001FF" w:csb1="00000000"/>
    <w:embedRegular r:id="rId1" w:fontKey="{1C1E0051-8904-5F26-5433-D0BAE76AF085}"/>
    <w:embedBold r:id="rId2" w:fontKey="{1DB7836B-BF32-BAF5-2A27-CA1E5074A9C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pPr>
    <w:r>
      <w:rPr>
        <w:color w:val="555555"/>
        <w:sz w:val="16"/>
        <w:szCs w:val="16"/>
        <w:rtl/>
      </w:rPr>
      <w:t xml:space="preserve">CC BY 4.0 · صفحة </w:t>
    </w:r>
    <w:r>
      <w:rPr>
        <w:color w:val="555555"/>
        <w:sz w:val="16"/>
        <w:szCs w:val="16"/>
        <w:rtl/>
      </w:rPr>
      <w:fldChar w:fldCharType="begin"/>
    </w:r>
    <w:r>
      <w:rPr>
        <w:color w:val="555555"/>
        <w:sz w:val="16"/>
        <w:szCs w:val="16"/>
        <w:rtl/>
      </w:rPr>
      <w:instrText xml:space="preserve">PAGE</w:instrText>
    </w:r>
    <w:r>
      <w:rPr>
        <w:color w:val="555555"/>
        <w:sz w:val="16"/>
        <w:szCs w:val="16"/>
        <w:rtl/>
      </w:rPr>
      <w:fldChar w:fldCharType="separate"/>
    </w:r>
    <w:r>
      <w:rPr>
        <w:color w:val="555555"/>
        <w:sz w:val="16"/>
        <w:szCs w:val="16"/>
        <w:rtl/>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pPr>
    <w:r>
      <w:rPr>
        <w:color w:val="555555"/>
        <w:sz w:val="16"/>
        <w:szCs w:val="16"/>
        <w:rtl/>
      </w:rPr>
      <w:t xml:space="preserve">CC BY 4.0 · صفحة </w:t>
    </w:r>
    <w:r>
      <w:rPr>
        <w:color w:val="555555"/>
        <w:sz w:val="16"/>
        <w:szCs w:val="16"/>
        <w:rtl/>
      </w:rPr>
      <w:fldChar w:fldCharType="begin"/>
    </w:r>
    <w:r>
      <w:rPr>
        <w:color w:val="555555"/>
        <w:sz w:val="16"/>
        <w:szCs w:val="16"/>
        <w:rtl/>
      </w:rPr>
      <w:instrText xml:space="preserve">PAGE</w:instrText>
    </w:r>
    <w:r>
      <w:rPr>
        <w:color w:val="555555"/>
        <w:sz w:val="16"/>
        <w:szCs w:val="16"/>
        <w:rtl/>
      </w:rPr>
      <w:fldChar w:fldCharType="separate"/>
    </w:r>
    <w:r>
      <w:rPr>
        <w:color w:val="555555"/>
        <w:sz w:val="16"/>
        <w:szCs w:val="16"/>
        <w:rt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pPr>
    <w:r>
      <w:rPr>
        <w:color w:val="555555"/>
        <w:sz w:val="16"/>
        <w:szCs w:val="16"/>
        <w:rtl/>
      </w:rPr>
      <w:t xml:space="preserve">نموذج استرشادي – ليس استشارة قانونية – قانو – آخر مراجعة 29 أكتوبر 2026 – ‪https://www.qanu.ai/ar/نماذج/نموذج-وكالة-عامة‬</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4"/>
      </w:pBdr>
      <w:bidi/>
    </w:pPr>
    <w:r>
      <w:rPr>
        <w:color w:val="555555"/>
        <w:sz w:val="16"/>
        <w:szCs w:val="16"/>
        <w:rtl/>
      </w:rPr>
      <w:t xml:space="preserve">نموذج استرشادي – ليس استشارة قانونية – قانو – آخر مراجعة 29 أكتوبر 2026 – ‪https://www.qanu.ai/ar/نماذج/نموذج-وكالة-عامة‬</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start="360" w:hanging="260"/>
      </w:pPr>
    </w:lvl>
    <w:lvl w:ilvl="1" w:tentative="1">
      <w:start w:val="1"/>
      <w:numFmt w:val="bullet"/>
      <w:lvlText w:val="◦"/>
      <w:lvlJc w:val="left"/>
      <w:pPr>
        <w:ind w:start="90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BM Plex Sans Arabic" w:cs="IBM Plex Sans Arabic" w:eastAsia="IBM Plex Sans Arabic" w:hAnsi="IBM Plex Sans Arabic"/>
        <w:sz w:val="21"/>
        <w:szCs w:val="21"/>
        <w:lang w:val="ar-SA" w:bidi="ar-SA"/>
      </w:rPr>
    </w:rPrDefault>
    <w:pPrDefault>
      <w:pPr>
        <w:spacing w:after="120"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120" w:line="240" w:lineRule="auto"/>
    </w:pPr>
    <w:rPr>
      <w:rFonts w:ascii="IBM Plex Sans Arabic" w:cs="IBM Plex Sans Arabic" w:eastAsia="IBM Plex Sans Arabic" w:hAnsi="IBM Plex Sans Arabic"/>
      <w:b/>
      <w:bCs/>
      <w:color w:val="111111"/>
      <w:sz w:val="36"/>
      <w:szCs w:val="36"/>
    </w:rPr>
  </w:style>
  <w:style w:type="paragraph" w:styleId="Heading1">
    <w:name w:val="Heading 1"/>
    <w:basedOn w:val="Normal"/>
    <w:next w:val="Normal"/>
    <w:qFormat/>
    <w:pPr>
      <w:keepNext/>
      <w:spacing w:after="120" w:before="320"/>
    </w:pPr>
    <w:rPr>
      <w:rFonts w:ascii="IBM Plex Sans Arabic" w:cs="IBM Plex Sans Arabic" w:eastAsia="IBM Plex Sans Arabic" w:hAnsi="IBM Plex Sans Arabic"/>
      <w:b/>
      <w:bCs/>
      <w:color w:val="111111"/>
      <w:sz w:val="26"/>
      <w:szCs w:val="26"/>
    </w:rPr>
  </w:style>
  <w:style w:type="paragraph" w:styleId="Heading2">
    <w:name w:val="Heading 2"/>
    <w:basedOn w:val="Normal"/>
    <w:next w:val="Normal"/>
    <w:qFormat/>
    <w:pPr>
      <w:keepNext/>
      <w:spacing w:after="120" w:before="240"/>
    </w:pPr>
    <w:rPr>
      <w:rFonts w:ascii="IBM Plex Sans Arabic" w:cs="IBM Plex Sans Arabic" w:eastAsia="IBM Plex Sans Arabic" w:hAnsi="IBM Plex Sans Arabic"/>
      <w:b/>
      <w:bCs/>
      <w:color w:val="111111"/>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F4E9E"/>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theme" Target="theme/theme1.xml"/><Relationship Id="rIdsxgrymqmfr4ht3r71a78g" Type="http://schemas.openxmlformats.org/officeDocument/2006/relationships/hyperlink" Target="https://www.moj.gov.sa/ar/eServices/pages/3472d517-7cb4-4cd5-a6bc-2abc9751eea3.aspx" TargetMode="External"/><Relationship Id="rIdax_2nlkoyn1ftn1of8tcc" Type="http://schemas.openxmlformats.org/officeDocument/2006/relationships/hyperlink" Target="https://najiz.sa/applications/landing" TargetMode="External"/><Relationship Id="rIdelnfszukykd-3pfzns5t8" Type="http://schemas.openxmlformats.org/officeDocument/2006/relationships/hyperlink" Target="https://www.adjd.gov.ae/EN/Pages/notarypublics.aspx" TargetMode="External"/><Relationship Id="rIdckjkqcdorhbcgmlr8qepv" Type="http://schemas.openxmlformats.org/officeDocument/2006/relationships/hyperlink" Target="https://www.moj.gov.ae/en/services/esystems/e-notary.aspx" TargetMode="External"/><Relationship Id="rIdhvk2t0r3v4znt1df-tj35" Type="http://schemas.openxmlformats.org/officeDocument/2006/relationships/hyperlink" Target="https://creativecommons.org/licenses/by/4.0/deed.ar" TargetMode="External"/><Relationship Id="rIdrk9mluhkktdpzaz9ruq4y" Type="http://schemas.openxmlformats.org/officeDocument/2006/relationships/hyperlink" Target="https://www.moj.gov.sa/ar/eServices/pages/3472d517-7cb4-4cd5-a6bc-2abc9751eea3.aspx" TargetMode="External"/><Relationship Id="rIdxtju5yh2sjs_4r1-uvxol" Type="http://schemas.openxmlformats.org/officeDocument/2006/relationships/hyperlink" Target="https://najiz.sa/applications/landing" TargetMode="External"/><Relationship Id="rIdibk-cxsgajuyr4r9wmnj5" Type="http://schemas.openxmlformats.org/officeDocument/2006/relationships/hyperlink" Target="https://www.moj.gov.sa/ar/eServices/Pages/928b8f02-19a7-482b-ba0e-29a151d9a900.aspx" TargetMode="External"/><Relationship Id="rIdiuxgruejmfg97raxxlbio" Type="http://schemas.openxmlformats.org/officeDocument/2006/relationships/hyperlink" Target="https://laws.moj.gov.sa/ar/legislation/PBbHmywh1XMp-Kyv3NtQLg" TargetMode="External"/><Relationship Id="rIdy0e_fkacclsiocilr0dgk" Type="http://schemas.openxmlformats.org/officeDocument/2006/relationships/hyperlink" Target="https://www.adjd.gov.ae/EN/Pages/notarypublics.aspx" TargetMode="External"/><Relationship Id="rIdb2rpt9vpo-ou6dbmjf07v" Type="http://schemas.openxmlformats.org/officeDocument/2006/relationships/hyperlink" Target="https://www.moj.gov.ae/en/services/esystems/e-notary.aspx" TargetMode="External"/><Relationship Id="rIdpgkpisrts7okvwsvubqqs" Type="http://schemas.openxmlformats.org/officeDocument/2006/relationships/hyperlink" Target="https://laws.boe.gov.sa/BoeLaws/Laws/LawDetails/655fdb42-8c96-422b-b8c4-b04f0095c94c/1" TargetMode="External"/><Relationship Id="rId-q2jki4ixaxapdhbuvz9z" Type="http://schemas.openxmlformats.org/officeDocument/2006/relationships/hyperlink" Target="https://qanoon.om/p/2013/rd2013029/"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نموذج وكالة عامة (Word و PDF)</dc:title>
  <dc:creator>Qanu</dc:creator>
  <cp:keywords>وكالة عامة, ناجز, كاتب العدل, دول الخليج</cp:keywords>
  <dc:description>هذا نموذج استرشادي وليس استشارة قانونية، ولا ينشئ علاقة محامٍ بموكّل. تتغير قواعد المحاكم وإرشادات الجهات التنظيمية والتشريعات؛ يُرجى الرجوع إلى المصادر الرسمية المرفقة ومراجعة العقد من محامٍ مختص في كل دولة معنية. آخر مراجعة: 29 أكتوبر 2026. احرص على مراجعته من محامٍ مرخّص في دولتك قبل استخدامه، وحيثما كان النموذج أو المنصة الرسمية إلزامياً فهو المعتمد.</dc:description>
  <cp:lastModifiedBy>Qanu</cp:lastModifiedBy>
  <cp:revision>1</cp:revision>
  <dcterms:created xsi:type="dcterms:W3CDTF">2026-10-29T11:28:02.259Z</dcterms:created>
  <dcterms:modified xsi:type="dcterms:W3CDTF">2026-10-29T11:28:02.259Z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cense">
    <vt:lpwstr>https://creativecommons.org/licenses/by/4.0/</vt:lpwstr>
  </property>
  <property fmtid="{D5CDD505-2E9C-101B-9397-08002B2CF9AE}" pid="3" name="Source">
    <vt:lpwstr>https://www.qanu.ai/ar/نماذج/نموذج-وكالة-عامة</vt:lpwstr>
  </property>
</Properties>
</file>