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11111" w:sz="12" w:space="6"/>
          <w:left w:val="single" w:color="111111" w:sz="12" w:space="6"/>
          <w:bottom w:val="single" w:color="111111" w:sz="12" w:space="6"/>
          <w:right w:val="single" w:color="111111" w:sz="12" w:space="6"/>
        </w:pBdr>
        <w:shd w:fill="FFF4D6" w:color="auto" w:val="clear"/>
        <w:bidi w:val="false"/>
      </w:pPr>
      <w:r>
        <w:rPr>
          <w:b/>
          <w:bCs/>
          <w:rtl w:val="false"/>
        </w:rPr>
        <w:t xml:space="preserve">A power of attorney takes effect only once it is issued through the official channel.</w:t>
      </w:r>
      <w:r>
        <w:rPr>
          <w:rtl w:val="false"/>
        </w:rPr>
        <w:t xml:space="preserve"> In Saudi Arabia, the Ministry of Justice e-service “Issue a power of attorney” issues it on Najiz without a visit to a notary. An electronic power of attorney does not run for more than one year. Any party can partially withdraw from it on Najiz or in the Najiz app, and it ends automatically if a party dies.</w:t>
      </w:r>
      <w:r>
        <w:rPr>
          <w:rtl w:val="false"/>
        </w:rPr>
        <w:t xml:space="preserve"> [1]</w:t>
      </w:r>
      <w:r>
        <w:rPr>
          <w:rtl w:val="false"/>
        </w:rPr>
        <w:t xml:space="preserve"> In Saudi Arabia an agency in general words that does not specify the type of act is not valid. Tick the types in Annex 1.</w:t>
      </w:r>
      <w:r>
        <w:rPr>
          <w:rtl w:val="false"/>
        </w:rPr>
        <w:t xml:space="preserve"> [7]</w:t>
      </w:r>
      <w:r>
        <w:rPr>
          <w:rtl w:val="false"/>
        </w:rPr>
        <w:t xml:space="preserve"> In Abu Dhabi, the Judicial Department’s notary public notarises customary documents.</w:t>
      </w:r>
      <w:r>
        <w:rPr>
          <w:rtl w:val="false"/>
        </w:rPr>
        <w:t xml:space="preserve"> [5]</w:t>
      </w:r>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Issue a power of attorney: </w:t>
      </w:r>
      <w:hyperlink w:history="1" r:id="rIdbumhs4qlwhynt0ztqf6ar">
        <w:r>
          <w:rPr>
            <w:rStyle w:val="Hyperlink"/>
            <w:sz w:val="17"/>
            <w:szCs w:val="17"/>
          </w:rPr>
          <w:t xml:space="preserve">https://www.moj.gov.sa/ar/eServices/pages/3472d517-7cb4-4cd5-a6bc-2abc9751eea3.aspx</w:t>
        </w:r>
      </w:hyperlink>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Najiz: </w:t>
      </w:r>
      <w:hyperlink w:history="1" r:id="rId-thjcmppuesmthtygyqoo">
        <w:r>
          <w:rPr>
            <w:rStyle w:val="Hyperlink"/>
            <w:sz w:val="17"/>
            <w:szCs w:val="17"/>
          </w:rPr>
          <w:t xml:space="preserve">https://najiz.sa/applications/landing</w:t>
        </w:r>
      </w:hyperlink>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Abu Dhabi notary public: </w:t>
      </w:r>
      <w:hyperlink w:history="1" r:id="rIdxltmpuads4446tf-6hfxl">
        <w:r>
          <w:rPr>
            <w:rStyle w:val="Hyperlink"/>
            <w:sz w:val="17"/>
            <w:szCs w:val="17"/>
          </w:rPr>
          <w:t xml:space="preserve">https://www.adjd.gov.ae/EN/Pages/notarypublics.aspx</w:t>
        </w:r>
      </w:hyperlink>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UAE e-Notary: </w:t>
      </w:r>
      <w:hyperlink w:history="1" r:id="rIdifw1nhkl6r0butw9c8726">
        <w:r>
          <w:rPr>
            <w:rStyle w:val="Hyperlink"/>
            <w:sz w:val="17"/>
            <w:szCs w:val="17"/>
          </w:rPr>
          <w:t xml:space="preserve">https://www.moj.gov.ae/en/services/esystems/e-notary.aspx</w:t>
        </w:r>
      </w:hyperlink>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Oman:</w:t>
      </w:r>
      <w:r>
        <w:rPr>
          <w:sz w:val="19"/>
          <w:szCs w:val="19"/>
          <w:rtl w:val="false"/>
        </w:rPr>
        <w:t xml:space="preserve"> a general agency covers every matter that accepts representation, other than gifts, settlement, release, arbitration, loans and personal status unless written in (Articles 675 and 677).</w:t>
      </w:r>
      <w:r>
        <w:rPr>
          <w:sz w:val="19"/>
          <w:szCs w:val="19"/>
          <w:rtl w:val="false"/>
        </w:rPr>
        <w:t xml:space="preserve"> [8]</w:t>
      </w:r>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UAE:</w:t>
      </w:r>
      <w:r>
        <w:rPr>
          <w:sz w:val="19"/>
          <w:szCs w:val="19"/>
          <w:rtl w:val="false"/>
        </w:rPr>
        <w:t xml:space="preserve"> an agency may be general, special, conditional or deferred (Federal Decree-Law No. 25 of 2025, Article 869, in force 1 June 2026). Scope of a general agency is under review.</w:t>
      </w:r>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Bahrain, Qatar, Kuwait:</w:t>
      </w:r>
      <w:r>
        <w:rPr>
          <w:sz w:val="19"/>
          <w:szCs w:val="19"/>
          <w:rtl w:val="false"/>
        </w:rPr>
        <w:t xml:space="preserve"> the scope of a general agency is under review. No article number is stated.</w:t>
      </w:r>
    </w:p>
    <w:p>
      <w:pPr>
        <w:bidi w:val="false"/>
        <w:spacing w:after="240"/>
      </w:pPr>
    </w:p>
    <w:p>
      <w:pPr>
        <w:pStyle w:val="Title"/>
        <w:bidi w:val="false"/>
      </w:pPr>
      <w:r>
        <w:rPr>
          <w:rtl w:val="false"/>
        </w:rPr>
        <w:t xml:space="preserve">General power of attorney</w:t>
      </w:r>
    </w:p>
    <w:p>
      <w:pPr>
        <w:bidi w:val="false"/>
        <w:spacing w:after="240"/>
      </w:pPr>
      <w:r>
        <w:rPr>
          <w:color w:val="444444"/>
          <w:rtl w:val="false"/>
        </w:rPr>
        <w:t xml:space="preserve">A draft general power of attorney for the GCC: parties, a checklist of types of power, limits, duration and revocation. It is not a special power of attorney and not a substitute for the instrument issued through the official channel. Replace every </w:t>
      </w:r>
      <w:r>
        <w:rPr>
          <w:color w:val="444444"/>
          <w:highlight w:val="yellow"/>
          <w:rtl w:val="false"/>
        </w:rPr>
        <w:t xml:space="preserve">[</w:t>
      </w:r>
      <w:r>
        <w:rPr>
          <w:color w:val="444444"/>
          <w:highlight w:val="yellow"/>
          <w:rtl w:val="false"/>
        </w:rPr>
        <w:t xml:space="preserve">placeholder</w:t>
      </w:r>
      <w:r>
        <w:rPr>
          <w:color w:val="444444"/>
          <w:highlight w:val="yellow"/>
          <w:rtl w:val="false"/>
        </w:rPr>
        <w:t xml:space="preserve">]</w:t>
      </w:r>
      <w:r>
        <w:rPr>
          <w:color w:val="444444"/>
          <w:rtl w:val="false"/>
        </w:rPr>
        <w:t xml:space="preserve">.</w:t>
      </w:r>
    </w:p>
    <w:p>
      <w:pPr>
        <w:pStyle w:val="Heading1"/>
        <w:bidi w:val="false"/>
      </w:pPr>
      <w:commentRangeStart w:id="0"/>
      <w:r>
        <w:rPr>
          <w:rtl w:val="false"/>
        </w:rPr>
        <w:t xml:space="preserve">1. Parties</w:t>
      </w:r>
      <w:commentRangeEnd w:id="0"/>
      <w:r>
        <w:rPr>
          <w:rtl w:val="false"/>
        </w:rPr>
        <w:commentReference w:id="0"/>
      </w:r>
    </w:p>
    <w:p>
      <w:pPr>
        <w:bidi w:val="false"/>
      </w:pPr>
      <w:r>
        <w:rPr>
          <w:rtl w:val="false"/>
        </w:rPr>
        <w:t xml:space="preserve">I, </w:t>
      </w:r>
      <w:r>
        <w:rPr>
          <w:highlight w:val="yellow"/>
          <w:rtl w:val="false"/>
        </w:rPr>
        <w:t xml:space="preserve">[</w:t>
      </w:r>
      <w:r>
        <w:rPr>
          <w:highlight w:val="yellow"/>
          <w:rtl w:val="false"/>
        </w:rPr>
        <w:t xml:space="preserve">Principal: name, ID, address</w:t>
      </w:r>
      <w:r>
        <w:rPr>
          <w:highlight w:val="yellow"/>
          <w:rtl w:val="false"/>
        </w:rPr>
        <w:t xml:space="preserve">]</w:t>
      </w:r>
      <w:r>
        <w:rPr>
          <w:rtl w:val="false"/>
        </w:rPr>
        <w:t xml:space="preserve">, being of full capacity, appoint </w:t>
      </w:r>
      <w:r>
        <w:rPr>
          <w:highlight w:val="yellow"/>
          <w:rtl w:val="false"/>
        </w:rPr>
        <w:t xml:space="preserve">[</w:t>
      </w:r>
      <w:r>
        <w:rPr>
          <w:highlight w:val="yellow"/>
          <w:rtl w:val="false"/>
        </w:rPr>
        <w:t xml:space="preserve">Agent: name, ID, address</w:t>
      </w:r>
      <w:r>
        <w:rPr>
          <w:highlight w:val="yellow"/>
          <w:rtl w:val="false"/>
        </w:rPr>
        <w:t xml:space="preserve">]</w:t>
      </w:r>
      <w:r>
        <w:rPr>
          <w:rtl w:val="false"/>
        </w:rPr>
        <w:t xml:space="preserve"> to act for me within the limits of this general power of attorney.</w:t>
      </w:r>
    </w:p>
    <w:p>
      <w:pPr>
        <w:bidi w:val="false"/>
      </w:pPr>
      <w:r>
        <w:rPr>
          <w:rtl w:val="false"/>
        </w:rPr>
        <w:t xml:space="preserve">The Principal’s capacity: </w:t>
      </w:r>
      <w:r>
        <w:rPr>
          <w:highlight w:val="yellow"/>
          <w:rtl w:val="false"/>
        </w:rPr>
        <w:t xml:space="preserve">[</w:t>
      </w:r>
      <w:r>
        <w:rPr>
          <w:highlight w:val="yellow"/>
          <w:rtl w:val="false"/>
        </w:rPr>
        <w:t xml:space="preserve">in person / as agent under a power of attorney / owner of an establishment / representative of a company</w:t>
      </w:r>
      <w:r>
        <w:rPr>
          <w:highlight w:val="yellow"/>
          <w:rtl w:val="false"/>
        </w:rPr>
        <w:t xml:space="preserve">]</w:t>
      </w:r>
      <w:r>
        <w:rPr>
          <w:rtl w:val="false"/>
        </w:rPr>
        <w:t xml:space="preserve">.</w:t>
      </w:r>
    </w:p>
    <w:p>
      <w:pPr>
        <w:pStyle w:val="Heading1"/>
        <w:bidi w:val="false"/>
      </w:pPr>
      <w:commentRangeStart w:id="1"/>
      <w:r>
        <w:rPr>
          <w:rtl w:val="false"/>
        </w:rPr>
        <w:t xml:space="preserve">2. Type</w:t>
      </w:r>
      <w:commentRangeEnd w:id="1"/>
      <w:r>
        <w:rPr>
          <w:rtl w:val="false"/>
        </w:rPr>
        <w:commentReference w:id="1"/>
      </w:r>
    </w:p>
    <w:p>
      <w:pPr>
        <w:bidi w:val="false"/>
      </w:pPr>
      <w:r>
        <w:rPr>
          <w:rtl w:val="false"/>
        </w:rPr>
        <w:t xml:space="preserve">This instrument is a </w:t>
      </w:r>
      <w:r>
        <w:rPr>
          <w:b/>
          <w:bCs/>
          <w:rtl w:val="false"/>
        </w:rPr>
        <w:t xml:space="preserve">general</w:t>
      </w:r>
      <w:r>
        <w:rPr>
          <w:rtl w:val="false"/>
        </w:rPr>
        <w:t xml:space="preserve"> power of attorney. The Agent may do the types of act ticked in Annex 1, unless clause 4 excludes an act. It is not limited to one named transaction. For one named act use a special power of attorney.</w:t>
      </w:r>
    </w:p>
    <w:p>
      <w:pPr>
        <w:pStyle w:val="Heading1"/>
        <w:bidi w:val="false"/>
      </w:pPr>
      <w:commentRangeStart w:id="2"/>
      <w:r>
        <w:rPr>
          <w:rtl w:val="false"/>
        </w:rPr>
        <w:t xml:space="preserve">3. Scope of authority</w:t>
      </w:r>
      <w:commentRangeEnd w:id="2"/>
      <w:r>
        <w:rPr>
          <w:rtl w:val="false"/>
        </w:rPr>
        <w:commentReference w:id="2"/>
      </w:r>
    </w:p>
    <w:p>
      <w:pPr>
        <w:bidi w:val="false"/>
      </w:pPr>
      <w:r>
        <w:rPr>
          <w:rtl w:val="false"/>
        </w:rPr>
        <w:t xml:space="preserve">The Agent may exercise only the powers marked in Annex 1, and only within the limit written against each power.</w:t>
      </w:r>
    </w:p>
    <w:p>
      <w:pPr>
        <w:pStyle w:val="Heading1"/>
        <w:bidi w:val="false"/>
      </w:pPr>
      <w:commentRangeStart w:id="3"/>
      <w:r>
        <w:rPr>
          <w:rtl w:val="false"/>
        </w:rPr>
        <w:t xml:space="preserve">4. Limits and excluded acts</w:t>
      </w:r>
      <w:commentRangeEnd w:id="3"/>
      <w:r>
        <w:rPr>
          <w:rtl w:val="false"/>
        </w:rPr>
        <w:commentReference w:id="3"/>
      </w:r>
    </w:p>
    <w:p>
      <w:pPr>
        <w:bidi w:val="false"/>
      </w:pPr>
      <w:r>
        <w:rPr>
          <w:rtl w:val="false"/>
        </w:rPr>
        <w:t xml:space="preserve">The Agent may not: </w:t>
      </w:r>
      <w:r>
        <w:rPr>
          <w:highlight w:val="yellow"/>
          <w:rtl w:val="false"/>
        </w:rPr>
        <w:t xml:space="preserve">[</w:t>
      </w:r>
      <w:r>
        <w:rPr>
          <w:highlight w:val="yellow"/>
          <w:rtl w:val="false"/>
        </w:rPr>
        <w:t xml:space="preserve">gift / release a claim / settle / waive a right / dispose of property / borrow / other exclusions</w:t>
      </w:r>
      <w:r>
        <w:rPr>
          <w:highlight w:val="yellow"/>
          <w:rtl w:val="false"/>
        </w:rPr>
        <w:t xml:space="preserve">]</w:t>
      </w:r>
      <w:r>
        <w:rPr>
          <w:rtl w:val="false"/>
        </w:rPr>
        <w:t xml:space="preserve">. Anything not listed in Annex 1 is outside this power of attorney.</w:t>
      </w:r>
    </w:p>
    <w:p>
      <w:pPr>
        <w:pStyle w:val="Heading1"/>
        <w:bidi w:val="false"/>
      </w:pPr>
      <w:commentRangeStart w:id="4"/>
      <w:r>
        <w:rPr>
          <w:rtl w:val="false"/>
        </w:rPr>
        <w:t xml:space="preserve">5. Right to delegate</w:t>
      </w:r>
      <w:commentRangeEnd w:id="4"/>
      <w:r>
        <w:rPr>
          <w:rtl w:val="false"/>
        </w:rPr>
        <w:commentReference w:id="4"/>
      </w:r>
    </w:p>
    <w:p>
      <w:pPr>
        <w:bidi w:val="false"/>
      </w:pPr>
      <w:r>
        <w:rPr>
          <w:b/>
          <w:bCs/>
          <w:rtl w:val="false"/>
        </w:rPr>
        <w:t xml:space="preserve">Option:</w:t>
      </w:r>
      <w:r>
        <w:rPr>
          <w:rtl w:val="false"/>
        </w:rPr>
        <w:t xml:space="preserve"> the Agent may not appoint a substitute.</w:t>
      </w:r>
    </w:p>
    <w:p>
      <w:pPr>
        <w:bidi w:val="false"/>
      </w:pPr>
      <w:r>
        <w:rPr>
          <w:b/>
          <w:bCs/>
          <w:rtl w:val="false"/>
        </w:rPr>
        <w:t xml:space="preserve">Option:</w:t>
      </w:r>
      <w:r>
        <w:rPr>
          <w:rtl w:val="false"/>
        </w:rPr>
        <w:t xml:space="preserve"> the Agent may appoint a substitute within </w:t>
      </w:r>
      <w:r>
        <w:rPr>
          <w:highlight w:val="yellow"/>
          <w:rtl w:val="false"/>
        </w:rPr>
        <w:t xml:space="preserve">[</w:t>
      </w:r>
      <w:r>
        <w:rPr>
          <w:highlight w:val="yellow"/>
          <w:rtl w:val="false"/>
        </w:rPr>
        <w:t xml:space="preserve">limits</w:t>
      </w:r>
      <w:r>
        <w:rPr>
          <w:highlight w:val="yellow"/>
          <w:rtl w:val="false"/>
        </w:rPr>
        <w:t xml:space="preserve">]</w:t>
      </w:r>
      <w:r>
        <w:rPr>
          <w:rtl w:val="false"/>
        </w:rPr>
        <w:t xml:space="preserve">, and remains responsible for that choice.</w:t>
      </w:r>
    </w:p>
    <w:p>
      <w:pPr>
        <w:pStyle w:val="Heading1"/>
        <w:bidi w:val="false"/>
      </w:pPr>
      <w:commentRangeStart w:id="5"/>
      <w:r>
        <w:rPr>
          <w:rtl w:val="false"/>
        </w:rPr>
        <w:t xml:space="preserve">6. Duration and expiry</w:t>
      </w:r>
      <w:commentRangeEnd w:id="5"/>
      <w:r>
        <w:rPr>
          <w:rtl w:val="false"/>
        </w:rPr>
        <w:commentReference w:id="5"/>
      </w:r>
    </w:p>
    <w:p>
      <w:pPr>
        <w:bidi w:val="false"/>
      </w:pPr>
      <w:r>
        <w:rPr>
          <w:rtl w:val="false"/>
        </w:rPr>
        <w:t xml:space="preserve">This power of attorney runs from </w:t>
      </w:r>
      <w:r>
        <w:rPr>
          <w:highlight w:val="yellow"/>
          <w:rtl w:val="false"/>
        </w:rPr>
        <w:t xml:space="preserve">[</w:t>
      </w:r>
      <w:r>
        <w:rPr>
          <w:highlight w:val="yellow"/>
          <w:rtl w:val="false"/>
        </w:rPr>
        <w:t xml:space="preserve">date</w:t>
      </w:r>
      <w:r>
        <w:rPr>
          <w:highlight w:val="yellow"/>
          <w:rtl w:val="false"/>
        </w:rPr>
        <w:t xml:space="preserve">]</w:t>
      </w:r>
      <w:r>
        <w:rPr>
          <w:rtl w:val="false"/>
        </w:rPr>
        <w:t xml:space="preserve"> until </w:t>
      </w:r>
      <w:r>
        <w:rPr>
          <w:highlight w:val="yellow"/>
          <w:rtl w:val="false"/>
        </w:rPr>
        <w:t xml:space="preserve">[</w:t>
      </w:r>
      <w:r>
        <w:rPr>
          <w:highlight w:val="yellow"/>
          <w:rtl w:val="false"/>
        </w:rPr>
        <w:t xml:space="preserve">date or event</w:t>
      </w:r>
      <w:r>
        <w:rPr>
          <w:highlight w:val="yellow"/>
          <w:rtl w:val="false"/>
        </w:rPr>
        <w:t xml:space="preserve">]</w:t>
      </w:r>
      <w:r>
        <w:rPr>
          <w:rtl w:val="false"/>
        </w:rPr>
        <w:t xml:space="preserve">, unless it ends sooner by revocation, withdrawal or death.</w:t>
      </w:r>
    </w:p>
    <w:p>
      <w:pPr>
        <w:pStyle w:val="Heading1"/>
        <w:bidi w:val="false"/>
      </w:pPr>
      <w:commentRangeStart w:id="6"/>
      <w:r>
        <w:rPr>
          <w:rtl w:val="false"/>
        </w:rPr>
        <w:t xml:space="preserve">7. Revocation and withdrawal</w:t>
      </w:r>
      <w:commentRangeEnd w:id="6"/>
      <w:r>
        <w:rPr>
          <w:rtl w:val="false"/>
        </w:rPr>
        <w:commentReference w:id="6"/>
      </w:r>
    </w:p>
    <w:p>
      <w:pPr>
        <w:bidi w:val="false"/>
      </w:pPr>
      <w:r>
        <w:rPr>
          <w:rtl w:val="false"/>
        </w:rPr>
        <w:t xml:space="preserve">The Principal may revoke the Agent by written notice. The Agent may withdraw by written notice. Tell the other party, and any third party dealing with the Agent, when that is possible.</w:t>
      </w:r>
    </w:p>
    <w:p>
      <w:pPr>
        <w:pStyle w:val="Heading1"/>
        <w:bidi w:val="false"/>
      </w:pPr>
      <w:r>
        <w:rPr>
          <w:rtl w:val="false"/>
        </w:rPr>
        <w:t xml:space="preserve">8. How to use this draft</w:t>
      </w:r>
    </w:p>
    <w:p>
      <w:pPr>
        <w:bidi w:val="false"/>
      </w:pPr>
      <w:r>
        <w:rPr>
          <w:rtl w:val="false"/>
        </w:rPr>
        <w:t xml:space="preserve">Use this draft to settle the wording. The power of attorney that works is the one issued on Najiz or before the competent notary. If the Arabic and English texts conflict, the Arabic text prevails in Saudi Arabia. This is a starting point. Have it reviewed by a lawyer licensed in the relevant jurisdiction before you use it.</w:t>
      </w:r>
    </w:p>
    <w:p>
      <w:pPr>
        <w:pBdr>
          <w:top w:val="single" w:color="888888" w:sz="6" w:space="6"/>
          <w:left w:val="single" w:color="888888" w:sz="6" w:space="6"/>
          <w:bottom w:val="single" w:color="888888" w:sz="6" w:space="6"/>
          <w:right w:val="single" w:color="888888" w:sz="6" w:space="6"/>
        </w:pBdr>
        <w:bidi w:val="false"/>
        <w:spacing w:after="120"/>
      </w:pPr>
      <w:r>
        <w:rPr>
          <w:b/>
          <w:bCs/>
          <w:rtl w:val="false"/>
        </w:rPr>
        <w:t xml:space="preserve">Principal:</w:t>
      </w:r>
      <w:r>
        <w:rPr>
          <w:rtl w:val="false"/>
        </w:rPr>
        <w:t xml:space="preserve"> name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ID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signature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date </w:t>
      </w:r>
      <w:r>
        <w:rPr>
          <w:highlight w:val="yellow"/>
          <w:rtl w:val="false"/>
        </w:rPr>
        <w:t xml:space="preserve">[</w:t>
      </w:r>
      <w:r>
        <w:rPr>
          <w:highlight w:val="yellow"/>
          <w:rtl w:val="false"/>
        </w:rPr>
        <w:t xml:space="preserve">●</w:t>
      </w:r>
      <w:r>
        <w:rPr>
          <w:highlight w:val="yellow"/>
          <w:rtl w:val="false"/>
        </w:rPr>
        <w:t xml:space="preserve">]</w:t>
      </w:r>
    </w:p>
    <w:p>
      <w:pPr>
        <w:pBdr>
          <w:top w:val="single" w:color="888888" w:sz="6" w:space="6"/>
          <w:left w:val="single" w:color="888888" w:sz="6" w:space="6"/>
          <w:bottom w:val="single" w:color="888888" w:sz="6" w:space="6"/>
          <w:right w:val="single" w:color="888888" w:sz="6" w:space="6"/>
        </w:pBdr>
        <w:bidi w:val="false"/>
        <w:spacing w:after="120"/>
      </w:pPr>
      <w:r>
        <w:rPr>
          <w:b/>
          <w:bCs/>
          <w:rtl w:val="false"/>
        </w:rPr>
        <w:t xml:space="preserve">Agent:</w:t>
      </w:r>
      <w:r>
        <w:rPr>
          <w:rtl w:val="false"/>
        </w:rPr>
        <w:t xml:space="preserve"> name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ID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signature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date </w:t>
      </w:r>
      <w:r>
        <w:rPr>
          <w:highlight w:val="yellow"/>
          <w:rtl w:val="false"/>
        </w:rPr>
        <w:t xml:space="preserve">[</w:t>
      </w:r>
      <w:r>
        <w:rPr>
          <w:highlight w:val="yellow"/>
          <w:rtl w:val="false"/>
        </w:rPr>
        <w:t xml:space="preserve">●</w:t>
      </w:r>
      <w:r>
        <w:rPr>
          <w:highlight w:val="yellow"/>
          <w:rtl w:val="false"/>
        </w:rPr>
        <w:t xml:space="preserve">]</w:t>
      </w:r>
    </w:p>
    <w:p>
      <w:pPr>
        <w:pStyle w:val="Heading1"/>
        <w:pageBreakBefore/>
        <w:bidi w:val="false"/>
      </w:pPr>
      <w:r>
        <w:rPr>
          <w:rtl w:val="false"/>
        </w:rPr>
        <w:t xml:space="preserve">Saudi Arabia notes</w:t>
      </w:r>
    </w:p>
    <w:p>
      <w:pPr>
        <w:bidi w:val="false"/>
      </w:pPr>
      <w:r>
        <w:rPr>
          <w:rtl w:val="false"/>
        </w:rPr>
        <w:t xml:space="preserve">What the Ministry of Justice service card and the Civil Transactions Law support.</w:t>
      </w:r>
      <w:r>
        <w:rPr>
          <w:rtl w:val="false"/>
        </w:rPr>
        <w:t xml:space="preserve"> [1][7]</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Item</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What the text states</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Issue</w:t>
            </w:r>
          </w:p>
        </w:tc>
        <w:tc>
          <w:tcPr>
            <w:tcMar>
              <w:top w:type="dxa" w:w="80"/>
              <w:left w:type="dxa" w:w="100"/>
              <w:bottom w:type="dxa" w:w="80"/>
              <w:right w:type="dxa" w:w="100"/>
            </w:tcMar>
          </w:tcPr>
          <w:p>
            <w:pPr>
              <w:bidi w:val="false"/>
              <w:spacing w:after="0"/>
            </w:pPr>
            <w:r>
              <w:rPr>
                <w:b w:val="false"/>
                <w:sz w:val="18"/>
                <w:szCs w:val="18"/>
                <w:rtl w:val="false"/>
              </w:rPr>
              <w:t xml:space="preserve">An electronic service issues the power of attorney on Najiz without a visit to a notary.</w:t>
            </w:r>
            <w:r>
              <w:rPr>
                <w:b w:val="false"/>
                <w:sz w:val="18"/>
                <w:szCs w:val="18"/>
                <w:rtl w:val="false"/>
              </w:rPr>
              <w:t xml:space="preserve"> [1]</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General words</w:t>
            </w:r>
          </w:p>
        </w:tc>
        <w:tc>
          <w:tcPr>
            <w:tcMar>
              <w:top w:type="dxa" w:w="80"/>
              <w:left w:type="dxa" w:w="100"/>
              <w:bottom w:type="dxa" w:w="80"/>
              <w:right w:type="dxa" w:w="100"/>
            </w:tcMar>
          </w:tcPr>
          <w:p>
            <w:pPr>
              <w:bidi w:val="false"/>
              <w:spacing w:after="0"/>
            </w:pPr>
            <w:r>
              <w:rPr>
                <w:b w:val="false"/>
                <w:sz w:val="18"/>
                <w:szCs w:val="18"/>
                <w:rtl w:val="false"/>
              </w:rPr>
              <w:t xml:space="preserve">An agency in general words that does not specify the type of act is not valid (Article 482).</w:t>
            </w:r>
            <w:r>
              <w:rPr>
                <w:b w:val="false"/>
                <w:sz w:val="18"/>
                <w:szCs w:val="18"/>
                <w:rtl w:val="false"/>
              </w:rPr>
              <w:t xml:space="preserve"> [7]</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Beyond administration</w:t>
            </w:r>
          </w:p>
        </w:tc>
        <w:tc>
          <w:tcPr>
            <w:tcMar>
              <w:top w:type="dxa" w:w="80"/>
              <w:left w:type="dxa" w:w="100"/>
              <w:bottom w:type="dxa" w:w="80"/>
              <w:right w:type="dxa" w:w="100"/>
            </w:tcMar>
          </w:tcPr>
          <w:p>
            <w:pPr>
              <w:bidi w:val="false"/>
              <w:spacing w:after="0"/>
            </w:pPr>
            <w:r>
              <w:rPr>
                <w:b w:val="false"/>
                <w:sz w:val="18"/>
                <w:szCs w:val="18"/>
                <w:rtl w:val="false"/>
              </w:rPr>
              <w:t xml:space="preserve">Any act beyond administration needs a special agency (Article 484).</w:t>
            </w:r>
            <w:r>
              <w:rPr>
                <w:b w:val="false"/>
                <w:sz w:val="18"/>
                <w:szCs w:val="18"/>
                <w:rtl w:val="false"/>
              </w:rPr>
              <w:t xml:space="preserve"> [7]</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Term</w:t>
            </w:r>
          </w:p>
        </w:tc>
        <w:tc>
          <w:tcPr>
            <w:tcMar>
              <w:top w:type="dxa" w:w="80"/>
              <w:left w:type="dxa" w:w="100"/>
              <w:bottom w:type="dxa" w:w="80"/>
              <w:right w:type="dxa" w:w="100"/>
            </w:tcMar>
          </w:tcPr>
          <w:p>
            <w:pPr>
              <w:bidi w:val="false"/>
              <w:spacing w:after="0"/>
            </w:pPr>
            <w:r>
              <w:rPr>
                <w:b w:val="false"/>
                <w:sz w:val="18"/>
                <w:szCs w:val="18"/>
                <w:rtl w:val="false"/>
              </w:rPr>
              <w:t xml:space="preserve">An electronic power of attorney does not exceed one year.</w:t>
            </w:r>
            <w:r>
              <w:rPr>
                <w:b w:val="false"/>
                <w:sz w:val="18"/>
                <w:szCs w:val="18"/>
                <w:rtl w:val="false"/>
              </w:rPr>
              <w:t xml:space="preserve"> [1]</w:t>
            </w:r>
          </w:p>
        </w:tc>
      </w:tr>
    </w:tbl>
    <w:p>
      <w:pPr>
        <w:bidi w:val="false"/>
      </w:pPr>
    </w:p>
    <w:p>
      <w:pPr>
        <w:pStyle w:val="Heading1"/>
        <w:pageBreakBefore/>
        <w:bidi w:val="false"/>
      </w:pPr>
      <w:r>
        <w:rPr>
          <w:rtl w:val="false"/>
        </w:rPr>
        <w:t xml:space="preserve">UAE notes</w:t>
      </w:r>
    </w:p>
    <w:p>
      <w:pPr>
        <w:bidi w:val="false"/>
      </w:pPr>
      <w:r>
        <w:rPr>
          <w:rtl w:val="false"/>
        </w:rPr>
        <w:t xml:space="preserve">What was read on the Abu Dhabi Judicial Department notary page.</w:t>
      </w:r>
      <w:r>
        <w:rPr>
          <w:rtl w:val="false"/>
        </w:rPr>
        <w:t xml:space="preserve"> [5][6]</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Item</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What to do</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Abu Dhabi</w:t>
            </w:r>
          </w:p>
        </w:tc>
        <w:tc>
          <w:tcPr>
            <w:tcMar>
              <w:top w:type="dxa" w:w="80"/>
              <w:left w:type="dxa" w:w="100"/>
              <w:bottom w:type="dxa" w:w="80"/>
              <w:right w:type="dxa" w:w="100"/>
            </w:tcMar>
          </w:tcPr>
          <w:p>
            <w:pPr>
              <w:bidi w:val="false"/>
              <w:spacing w:after="0"/>
            </w:pPr>
            <w:r>
              <w:rPr>
                <w:b w:val="false"/>
                <w:sz w:val="18"/>
                <w:szCs w:val="18"/>
                <w:rtl w:val="false"/>
              </w:rPr>
              <w:t xml:space="preserve">A notary public notarises customary documents, including the private notary and the governmental notary.</w:t>
            </w:r>
            <w:r>
              <w:rPr>
                <w:b w:val="false"/>
                <w:sz w:val="18"/>
                <w:szCs w:val="18"/>
                <w:rtl w:val="false"/>
              </w:rPr>
              <w:t xml:space="preserve"> [5]</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English</w:t>
            </w:r>
          </w:p>
        </w:tc>
        <w:tc>
          <w:tcPr>
            <w:tcMar>
              <w:top w:type="dxa" w:w="80"/>
              <w:left w:type="dxa" w:w="100"/>
              <w:bottom w:type="dxa" w:w="80"/>
              <w:right w:type="dxa" w:w="100"/>
            </w:tcMar>
          </w:tcPr>
          <w:p>
            <w:pPr>
              <w:bidi w:val="false"/>
              <w:spacing w:after="0"/>
            </w:pPr>
            <w:r>
              <w:rPr>
                <w:b w:val="false"/>
                <w:sz w:val="18"/>
                <w:szCs w:val="18"/>
                <w:rtl w:val="false"/>
              </w:rPr>
              <w:t xml:space="preserve">The Department has an English-language notary services bureau.</w:t>
            </w:r>
            <w:r>
              <w:rPr>
                <w:b w:val="false"/>
                <w:sz w:val="18"/>
                <w:szCs w:val="18"/>
                <w:rtl w:val="false"/>
              </w:rPr>
              <w:t xml:space="preserve"> [5]</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Scope</w:t>
            </w:r>
          </w:p>
        </w:tc>
        <w:tc>
          <w:tcPr>
            <w:tcMar>
              <w:top w:type="dxa" w:w="80"/>
              <w:left w:type="dxa" w:w="100"/>
              <w:bottom w:type="dxa" w:w="80"/>
              <w:right w:type="dxa" w:w="100"/>
            </w:tcMar>
          </w:tcPr>
          <w:p>
            <w:pPr>
              <w:bidi w:val="false"/>
              <w:spacing w:after="0"/>
            </w:pPr>
            <w:r>
              <w:rPr>
                <w:b w:val="false"/>
                <w:sz w:val="18"/>
                <w:szCs w:val="18"/>
                <w:rtl w:val="false"/>
              </w:rPr>
              <w:t xml:space="preserve">The articles on the scope of a general agency are under review. No article number is stated for that scope.</w:t>
            </w:r>
          </w:p>
        </w:tc>
      </w:tr>
    </w:tbl>
    <w:p>
      <w:pPr>
        <w:bidi w:val="false"/>
      </w:pPr>
    </w:p>
    <w:p>
      <w:pPr>
        <w:pStyle w:val="Heading1"/>
        <w:pageBreakBefore/>
        <w:bidi w:val="false"/>
      </w:pPr>
      <w:r>
        <w:rPr>
          <w:rtl w:val="false"/>
        </w:rPr>
        <w:t xml:space="preserve">Annex 1 – Powers</w:t>
      </w:r>
    </w:p>
    <w:p>
      <w:pPr>
        <w:bidi w:val="false"/>
      </w:pPr>
      <w:r>
        <w:rPr>
          <w:rtl w:val="false"/>
        </w:rPr>
        <w:t xml:space="preserve">Mark “yes” for each type of power you intend to issue, and write its limit. A single named act belongs in a special power of attorney.</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169"/>
        <w:gridCol w:w="3169"/>
        <w:gridCol w:w="3169"/>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Power</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Included</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Limit</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Government transactions</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yes/no</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authority or transaction</w:t>
            </w:r>
            <w:r>
              <w:rPr>
                <w:b w:val="false"/>
                <w:sz w:val="18"/>
                <w:szCs w:val="18"/>
                <w:highlight w:val="yellow"/>
                <w:rtl w:val="false"/>
              </w:rPr>
              <w:t xml:space="preserve">]</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Banks</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yes/no</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account or transaction</w:t>
            </w:r>
            <w:r>
              <w:rPr>
                <w:b w:val="false"/>
                <w:sz w:val="18"/>
                <w:szCs w:val="18"/>
                <w:highlight w:val="yellow"/>
                <w:rtl w:val="false"/>
              </w:rPr>
              <w:t xml:space="preserve">]</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Courts and claims</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yes/no</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claim or type of claim</w:t>
            </w:r>
            <w:r>
              <w:rPr>
                <w:b w:val="false"/>
                <w:sz w:val="18"/>
                <w:szCs w:val="18"/>
                <w:highlight w:val="yellow"/>
                <w:rtl w:val="false"/>
              </w:rPr>
              <w:t xml:space="preserve">]</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Property</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yes/no</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property or disposition</w:t>
            </w:r>
            <w:r>
              <w:rPr>
                <w:b w:val="false"/>
                <w:sz w:val="18"/>
                <w:szCs w:val="18"/>
                <w:highlight w:val="yellow"/>
                <w:rtl w:val="false"/>
              </w:rPr>
              <w:t xml:space="preserve">]</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Companies</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yes/no</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company or act</w:t>
            </w:r>
            <w:r>
              <w:rPr>
                <w:b w:val="false"/>
                <w:sz w:val="18"/>
                <w:szCs w:val="18"/>
                <w:highlight w:val="yellow"/>
                <w:rtl w:val="false"/>
              </w:rPr>
              <w:t xml:space="preserve">]</w:t>
            </w:r>
          </w:p>
        </w:tc>
      </w:tr>
    </w:tbl>
    <w:p>
      <w:pPr>
        <w:bidi w:val="false"/>
      </w:pPr>
    </w:p>
    <w:p>
      <w:pPr>
        <w:pStyle w:val="Heading1"/>
        <w:pageBreakBefore/>
        <w:bidi w:val="false"/>
      </w:pPr>
      <w:r>
        <w:rPr>
          <w:rtl w:val="false"/>
        </w:rPr>
        <w:t xml:space="preserve">About this template</w:t>
      </w:r>
    </w:p>
    <w:p>
      <w:pPr>
        <w:bidi w:val="false"/>
      </w:pPr>
      <w:r>
        <w:rPr>
          <w:rtl w:val="false"/>
        </w:rPr>
        <w:t xml:space="preserve">This is a template, not legal advice. It does not create a lawyer–client relationship. Court rules, regulator guidance and laws change; check the official sources linked and have the contract reviewed by qualified counsel in each relevant jurisdiction. Last reviewed: 29 October 2026. Have it reviewed by a lawyer licensed in your jurisdiction before use. Where an official form or platform is mandatory, it prevails.</w:t>
      </w:r>
    </w:p>
    <w:p>
      <w:pPr>
        <w:bidi w:val="false"/>
      </w:pPr>
      <w:r>
        <w:rPr>
          <w:b/>
          <w:bCs/>
          <w:rtl w:val="false"/>
        </w:rPr>
        <w:t xml:space="preserve">How we prepared this template:</w:t>
      </w:r>
      <w:r>
        <w:rPr>
          <w:rtl w:val="false"/>
        </w:rPr>
        <w:t xml:space="preserve"> we drafted it from the official legislation and government platforms listed under Sources, and checked each legal statement against the official text on the review date. Where an official form or platform exists, we link to it and you should use it. Laws change; check the sources before use and have the final text reviewed by a licensed lawyer.</w:t>
      </w:r>
    </w:p>
    <w:p>
      <w:pPr>
        <w:bidi w:val="false"/>
      </w:pPr>
      <w:r>
        <w:rPr>
          <w:rtl w:val="false"/>
        </w:rPr>
        <w:t xml:space="preserve">The text of this page and the .docx downloads are licensed under </w:t>
      </w:r>
      <w:hyperlink w:history="1" r:id="rIdfocvknzabobntsydgjpll">
        <w:r>
          <w:rPr>
            <w:rStyle w:val="Hyperlink"/>
            <w:rtl w:val="false"/>
          </w:rPr>
          <w:t xml:space="preserve">Creative Commons Attribution 4.0 International (CC BY 4.0)</w:t>
        </w:r>
      </w:hyperlink>
      <w:r>
        <w:rPr>
          <w:rtl w:val="false"/>
        </w:rPr>
        <w:t xml:space="preserve">. The Qanu name and logo are not covered by the licence.</w:t>
      </w:r>
    </w:p>
    <w:p>
      <w:pPr>
        <w:bidi w:val="false"/>
      </w:pPr>
      <w:r>
        <w:rPr>
          <w:rtl w:val="false"/>
        </w:rPr>
        <w:t xml:space="preserve">Source: https://www.qanu.ai/en/templates/general-power-of-attorney · Last reviewed: 29 October 2026 · Not legal advice · CC BY 4.0</w:t>
      </w:r>
    </w:p>
    <w:p>
      <w:pPr>
        <w:pStyle w:val="Heading2"/>
        <w:bidi w:val="false"/>
      </w:pPr>
      <w:r>
        <w:rPr>
          <w:rtl w:val="false"/>
        </w:rPr>
        <w:t xml:space="preserve">Sources</w:t>
      </w:r>
    </w:p>
    <w:p>
      <w:pPr>
        <w:bidi w:val="false"/>
        <w:ind w:start="360" w:hanging="360"/>
      </w:pPr>
      <w:r>
        <w:rPr>
          <w:sz w:val="18"/>
          <w:szCs w:val="18"/>
          <w:rtl w:val="false"/>
        </w:rPr>
        <w:t xml:space="preserve">[1] Saudi Ministry of Justice, e-service “Issue a power of attorney” (إصدار وكالة) on Najiz </w:t>
      </w:r>
      <w:hyperlink w:history="1" r:id="rIdutpug3uijnqf8zykcxafn">
        <w:r>
          <w:rPr>
            <w:rStyle w:val="Hyperlink"/>
            <w:sz w:val="16"/>
            <w:szCs w:val="16"/>
          </w:rPr>
          <w:t xml:space="preserve">https://www.moj.gov.sa/ar/eServices/pages/3472d517-7cb4-4cd5-a6bc-2abc9751eea3.aspx</w:t>
        </w:r>
      </w:hyperlink>
    </w:p>
    <w:p>
      <w:pPr>
        <w:bidi w:val="false"/>
        <w:ind w:start="360" w:hanging="360"/>
      </w:pPr>
      <w:r>
        <w:rPr>
          <w:sz w:val="18"/>
          <w:szCs w:val="18"/>
          <w:rtl w:val="false"/>
        </w:rPr>
        <w:t xml:space="preserve">[2] Najiz, Ministry of Justice electronic-services portal </w:t>
      </w:r>
      <w:hyperlink w:history="1" r:id="rIdfes-vrk5-oprpv-zu4l4k">
        <w:r>
          <w:rPr>
            <w:rStyle w:val="Hyperlink"/>
            <w:sz w:val="16"/>
            <w:szCs w:val="16"/>
          </w:rPr>
          <w:t xml:space="preserve">https://najiz.sa/applications/landing</w:t>
        </w:r>
      </w:hyperlink>
    </w:p>
    <w:p>
      <w:pPr>
        <w:bidi w:val="false"/>
        <w:ind w:start="360" w:hanging="360"/>
      </w:pPr>
      <w:r>
        <w:rPr>
          <w:sz w:val="18"/>
          <w:szCs w:val="18"/>
          <w:rtl w:val="false"/>
        </w:rPr>
        <w:t xml:space="preserve">[3] Saudi Ministry of Justice, e-service “Statement of claim” (صحيفة دعوى) on Najiz </w:t>
      </w:r>
      <w:hyperlink w:history="1" r:id="rId2v3ahk-u6pu6k5hv8ljzq">
        <w:r>
          <w:rPr>
            <w:rStyle w:val="Hyperlink"/>
            <w:sz w:val="16"/>
            <w:szCs w:val="16"/>
          </w:rPr>
          <w:t xml:space="preserve">https://www.moj.gov.sa/ar/eServices/Pages/928b8f02-19a7-482b-ba0e-29a151d9a900.aspx</w:t>
        </w:r>
      </w:hyperlink>
    </w:p>
    <w:p>
      <w:pPr>
        <w:bidi w:val="false"/>
        <w:ind w:start="360" w:hanging="360"/>
      </w:pPr>
      <w:r>
        <w:rPr>
          <w:sz w:val="18"/>
          <w:szCs w:val="18"/>
          <w:rtl w:val="false"/>
        </w:rPr>
        <w:t xml:space="preserve">[4] Ministry of Justice legal portal, Civil Transactions Law (Royal Decree No. M/191 of 29/11/1444H) </w:t>
      </w:r>
      <w:hyperlink w:history="1" r:id="rIdctmr4pqyzuegz0qpcrhdf">
        <w:r>
          <w:rPr>
            <w:rStyle w:val="Hyperlink"/>
            <w:sz w:val="16"/>
            <w:szCs w:val="16"/>
          </w:rPr>
          <w:t xml:space="preserve">https://laws.moj.gov.sa/ar/legislation/PBbHmywh1XMp-Kyv3NtQLg</w:t>
        </w:r>
      </w:hyperlink>
    </w:p>
    <w:p>
      <w:pPr>
        <w:bidi w:val="false"/>
        <w:ind w:start="360" w:hanging="360"/>
      </w:pPr>
      <w:r>
        <w:rPr>
          <w:sz w:val="18"/>
          <w:szCs w:val="18"/>
          <w:rtl w:val="false"/>
        </w:rPr>
        <w:t xml:space="preserve">[5] Abu Dhabi Judicial Department, Notary Public </w:t>
      </w:r>
      <w:hyperlink w:history="1" r:id="rIdf2dxzudu8luetudly6z1d">
        <w:r>
          <w:rPr>
            <w:rStyle w:val="Hyperlink"/>
            <w:sz w:val="16"/>
            <w:szCs w:val="16"/>
          </w:rPr>
          <w:t xml:space="preserve">https://www.adjd.gov.ae/EN/Pages/notarypublics.aspx</w:t>
        </w:r>
      </w:hyperlink>
    </w:p>
    <w:p>
      <w:pPr>
        <w:bidi w:val="false"/>
        <w:ind w:start="360" w:hanging="360"/>
      </w:pPr>
      <w:r>
        <w:rPr>
          <w:sz w:val="18"/>
          <w:szCs w:val="18"/>
          <w:rtl w:val="false"/>
        </w:rPr>
        <w:t xml:space="preserve">[6] UAE Ministry of Justice, e-Notary system </w:t>
      </w:r>
      <w:hyperlink w:history="1" r:id="rIdpvqnmfjigaj-oqsjv6n3t">
        <w:r>
          <w:rPr>
            <w:rStyle w:val="Hyperlink"/>
            <w:sz w:val="16"/>
            <w:szCs w:val="16"/>
          </w:rPr>
          <w:t xml:space="preserve">https://www.moj.gov.ae/en/services/esystems/e-notary.aspx</w:t>
        </w:r>
      </w:hyperlink>
    </w:p>
    <w:p>
      <w:pPr>
        <w:bidi w:val="false"/>
        <w:ind w:start="360" w:hanging="360"/>
      </w:pPr>
      <w:r>
        <w:rPr>
          <w:sz w:val="18"/>
          <w:szCs w:val="18"/>
          <w:rtl w:val="false"/>
        </w:rPr>
        <w:t xml:space="preserve">[7] Bureau of Experts, Civil Transactions Law (Royal Decree No. M/191 of 29/11/1444H) </w:t>
      </w:r>
      <w:hyperlink w:history="1" r:id="rIdgwcen0qogx346hxrb37_2">
        <w:r>
          <w:rPr>
            <w:rStyle w:val="Hyperlink"/>
            <w:sz w:val="16"/>
            <w:szCs w:val="16"/>
          </w:rPr>
          <w:t xml:space="preserve">https://laws.boe.gov.sa/BoeLaws/Laws/LawDetails/655fdb42-8c96-422b-b8c4-b04f0095c94c/1</w:t>
        </w:r>
      </w:hyperlink>
    </w:p>
    <w:p>
      <w:pPr>
        <w:bidi w:val="false"/>
        <w:ind w:start="360" w:hanging="360"/>
      </w:pPr>
      <w:r>
        <w:rPr>
          <w:sz w:val="18"/>
          <w:szCs w:val="18"/>
          <w:rtl w:val="false"/>
        </w:rPr>
        <w:t xml:space="preserve">[8] Civil Transactions Law, Oman Royal Decree 29/2013 (text read on qanoon.om, a non-government mirror; the official listing is on mjla.gov.om) </w:t>
      </w:r>
      <w:hyperlink w:history="1" r:id="rIdid13pfzyyfiv9-kwodc3m">
        <w:r>
          <w:rPr>
            <w:rStyle w:val="Hyperlink"/>
            <w:sz w:val="16"/>
            <w:szCs w:val="16"/>
          </w:rPr>
          <w:t xml:space="preserve">https://qanoon.om/p/2013/rd2013029/</w:t>
        </w:r>
      </w:hyperlink>
    </w:p>
    <w:sectPr>
      <w:headerReference w:type="default" r:id="rId7"/>
      <w:headerReference w:type="first" r:id="rId8"/>
      <w:footerReference w:type="default" r:id="rId9"/>
      <w:footerReference w:type="first" r:id="rId10"/>
      <w:pgSz w:w="11906" w:h="16838" w:orient="portrait"/>
      <w:pgMar w:top="1300" w:right="1200" w:bottom="1100" w:left="1200" w:header="500" w:footer="500" w:gutter="0"/>
      <w:pgNumType/>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Q" w:author="Qanu" w:date="2026-10-29T00:00:00.000Z">
    <w:p>
      <w:pPr>
        <w:bidi w:val="false"/>
      </w:pPr>
      <w:r>
        <w:rPr>
          <w:b/>
          <w:bCs/>
          <w:rtl w:val="false"/>
        </w:rPr>
        <w:t xml:space="preserve">Drafting note</w:t>
      </w:r>
    </w:p>
    <w:p>
      <w:pPr>
        <w:bidi w:val="false"/>
      </w:pPr>
      <w:r>
        <w:rPr>
          <w:rtl w:val="false"/>
        </w:rPr>
        <w:t xml:space="preserve">The electronic service requires the beneficiary to be a Saudi or a resident with a valid ID, over 18, of full capacity, and with an active National Single Sign-On account. A company representative or an establishment owner uses Najiz Business.</w:t>
      </w:r>
      <w:r>
        <w:rPr>
          <w:rtl w:val="false"/>
        </w:rPr>
        <w:t xml:space="preserve"> [1]</w:t>
      </w:r>
    </w:p>
  </w:comment>
  <w:comment w:id="1" w:initials="Q" w:author="Qanu" w:date="2026-10-29T00:00:00.000Z">
    <w:p>
      <w:pPr>
        <w:bidi w:val="false"/>
      </w:pPr>
      <w:r>
        <w:rPr>
          <w:b/>
          <w:bCs/>
          <w:rtl w:val="false"/>
        </w:rPr>
        <w:t xml:space="preserve">Drafting note</w:t>
      </w:r>
    </w:p>
    <w:p>
      <w:pPr>
        <w:bidi w:val="false"/>
      </w:pPr>
      <w:r>
        <w:rPr>
          <w:rtl w:val="false"/>
        </w:rPr>
        <w:t xml:space="preserve">In Saudi Arabia an agency in general words that does not specify the type of act is not valid (Article 482). Tick the types.</w:t>
      </w:r>
      <w:r>
        <w:rPr>
          <w:rtl w:val="false"/>
        </w:rPr>
        <w:t xml:space="preserve"> [7]</w:t>
      </w:r>
      <w:r>
        <w:rPr>
          <w:rtl w:val="false"/>
        </w:rPr>
        <w:t xml:space="preserve"> On Najiz the principal chooses the clauses one by one. The issued instrument binds, not this draft.</w:t>
      </w:r>
      <w:r>
        <w:rPr>
          <w:rtl w:val="false"/>
        </w:rPr>
        <w:t xml:space="preserve"> [1]</w:t>
      </w:r>
    </w:p>
  </w:comment>
  <w:comment w:id="2" w:initials="Q" w:author="Qanu" w:date="2026-10-29T00:00:00.000Z">
    <w:p>
      <w:pPr>
        <w:bidi w:val="false"/>
      </w:pPr>
      <w:r>
        <w:rPr>
          <w:b/>
          <w:bCs/>
          <w:rtl w:val="false"/>
        </w:rPr>
        <w:t xml:space="preserve">Drafting note</w:t>
      </w:r>
    </w:p>
    <w:p>
      <w:pPr>
        <w:bidi w:val="false"/>
      </w:pPr>
      <w:r>
        <w:rPr>
          <w:rtl w:val="false"/>
        </w:rPr>
        <w:t xml:space="preserve">Don’t leave a power open if you mean one transaction. That is a special power of attorney.</w:t>
      </w:r>
      <w:r>
        <w:rPr>
          <w:rtl w:val="false"/>
        </w:rPr>
        <w:t xml:space="preserve"> [1]</w:t>
      </w:r>
    </w:p>
  </w:comment>
  <w:comment w:id="3" w:initials="Q" w:author="Qanu" w:date="2026-10-29T00:00:00.000Z">
    <w:p>
      <w:pPr>
        <w:bidi w:val="false"/>
      </w:pPr>
      <w:r>
        <w:rPr>
          <w:b/>
          <w:bCs/>
          <w:rtl w:val="false"/>
        </w:rPr>
        <w:t xml:space="preserve">Drafting note</w:t>
      </w:r>
    </w:p>
    <w:p>
      <w:pPr>
        <w:bidi w:val="false"/>
      </w:pPr>
      <w:r>
        <w:rPr>
          <w:rtl w:val="false"/>
        </w:rPr>
        <w:t xml:space="preserve">In Oman a general agency does not cover donations, settlement, release, arbitration, loans or personal status unless written in (Article 677).</w:t>
      </w:r>
      <w:r>
        <w:rPr>
          <w:rtl w:val="false"/>
        </w:rPr>
        <w:t xml:space="preserve"> [8]</w:t>
      </w:r>
    </w:p>
  </w:comment>
  <w:comment w:id="4" w:initials="Q" w:author="Qanu" w:date="2026-10-29T00:00:00.000Z">
    <w:p>
      <w:pPr>
        <w:bidi w:val="false"/>
      </w:pPr>
      <w:r>
        <w:rPr>
          <w:b/>
          <w:bCs/>
          <w:rtl w:val="false"/>
        </w:rPr>
        <w:t xml:space="preserve">Drafting note</w:t>
      </w:r>
    </w:p>
    <w:p>
      <w:pPr>
        <w:bidi w:val="false"/>
      </w:pPr>
      <w:r>
        <w:rPr>
          <w:rtl w:val="false"/>
        </w:rPr>
        <w:t xml:space="preserve">Delete the option you will not issue.</w:t>
      </w:r>
      <w:r>
        <w:rPr>
          <w:rtl w:val="false"/>
        </w:rPr>
        <w:t xml:space="preserve"> [1]</w:t>
      </w:r>
    </w:p>
  </w:comment>
  <w:comment w:id="5" w:initials="Q" w:author="Qanu" w:date="2026-10-29T00:00:00.000Z">
    <w:p>
      <w:pPr>
        <w:bidi w:val="false"/>
      </w:pPr>
      <w:r>
        <w:rPr>
          <w:b/>
          <w:bCs/>
          <w:rtl w:val="false"/>
        </w:rPr>
        <w:t xml:space="preserve">Drafting note</w:t>
      </w:r>
    </w:p>
    <w:p>
      <w:pPr>
        <w:bidi w:val="false"/>
      </w:pPr>
      <w:r>
        <w:rPr>
          <w:rtl w:val="false"/>
        </w:rPr>
        <w:t xml:space="preserve">An electronic power of attorney on Najiz does not exceed one year.</w:t>
      </w:r>
      <w:r>
        <w:rPr>
          <w:rtl w:val="false"/>
        </w:rPr>
        <w:t xml:space="preserve"> [1]</w:t>
      </w:r>
    </w:p>
  </w:comment>
  <w:comment w:id="6" w:initials="Q" w:author="Qanu" w:date="2026-10-29T00:00:00.000Z">
    <w:p>
      <w:pPr>
        <w:bidi w:val="false"/>
      </w:pPr>
      <w:r>
        <w:rPr>
          <w:b/>
          <w:bCs/>
          <w:rtl w:val="false"/>
        </w:rPr>
        <w:t xml:space="preserve">Drafting note</w:t>
      </w:r>
    </w:p>
    <w:p>
      <w:pPr>
        <w:bidi w:val="false"/>
      </w:pPr>
      <w:r>
        <w:rPr>
          <w:rtl w:val="false"/>
        </w:rPr>
        <w:t xml:space="preserve">On the electronic service, either party may partially withdraw on Najiz or in the Najiz app. It ends automatically if a party dies.</w:t>
      </w:r>
      <w:r>
        <w:rPr>
          <w:rtl w:val="false"/>
        </w:rPr>
        <w:t xml:space="preserve"> [1]</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pPr>
    <w:r>
      <w:rPr>
        <w:color w:val="555555"/>
        <w:sz w:val="16"/>
        <w:szCs w:val="16"/>
        <w:rtl w:val="false"/>
      </w:rPr>
      <w:t xml:space="preserve">CC BY 4.0 · Page </w:t>
    </w:r>
    <w:r>
      <w:rPr>
        <w:color w:val="555555"/>
        <w:sz w:val="16"/>
        <w:szCs w:val="16"/>
        <w:rtl w:val="false"/>
      </w:rPr>
      <w:fldChar w:fldCharType="begin"/>
    </w:r>
    <w:r>
      <w:rPr>
        <w:color w:val="555555"/>
        <w:sz w:val="16"/>
        <w:szCs w:val="16"/>
        <w:rtl w:val="false"/>
      </w:rPr>
      <w:instrText xml:space="preserve">PAGE</w:instrText>
    </w:r>
    <w:r>
      <w:rPr>
        <w:color w:val="555555"/>
        <w:sz w:val="16"/>
        <w:szCs w:val="16"/>
        <w:rtl w:val="false"/>
      </w:rPr>
      <w:fldChar w:fldCharType="separate"/>
    </w:r>
    <w:r>
      <w:rPr>
        <w:color w:val="555555"/>
        <w:sz w:val="16"/>
        <w:szCs w:val="16"/>
        <w:rtl w:val="false"/>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pPr>
    <w:r>
      <w:rPr>
        <w:color w:val="555555"/>
        <w:sz w:val="16"/>
        <w:szCs w:val="16"/>
        <w:rtl w:val="false"/>
      </w:rPr>
      <w:t xml:space="preserve">CC BY 4.0 · Page </w:t>
    </w:r>
    <w:r>
      <w:rPr>
        <w:color w:val="555555"/>
        <w:sz w:val="16"/>
        <w:szCs w:val="16"/>
        <w:rtl w:val="false"/>
      </w:rPr>
      <w:fldChar w:fldCharType="begin"/>
    </w:r>
    <w:r>
      <w:rPr>
        <w:color w:val="555555"/>
        <w:sz w:val="16"/>
        <w:szCs w:val="16"/>
        <w:rtl w:val="false"/>
      </w:rPr>
      <w:instrText xml:space="preserve">PAGE</w:instrText>
    </w:r>
    <w:r>
      <w:rPr>
        <w:color w:val="555555"/>
        <w:sz w:val="16"/>
        <w:szCs w:val="16"/>
        <w:rtl w:val="false"/>
      </w:rPr>
      <w:fldChar w:fldCharType="separate"/>
    </w:r>
    <w:r>
      <w:rPr>
        <w:color w:val="555555"/>
        <w:sz w:val="16"/>
        <w:szCs w:val="16"/>
        <w:rtl w:val="false"/>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pPr>
    <w:r>
      <w:rPr>
        <w:color w:val="555555"/>
        <w:sz w:val="16"/>
        <w:szCs w:val="16"/>
        <w:rtl w:val="false"/>
      </w:rPr>
      <w:t xml:space="preserve">Template – not legal advice – Qanu – last reviewed 29 October 2026 – https://www.qanu.ai/en/templates/general-power-of-attorney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BBBBB" w:sz="4" w:space="4"/>
      </w:pBdr>
      <w:bidi w:val="false"/>
    </w:pPr>
    <w:r>
      <w:rPr>
        <w:color w:val="555555"/>
        <w:sz w:val="16"/>
        <w:szCs w:val="16"/>
        <w:rtl w:val="false"/>
      </w:rPr>
      <w:t xml:space="preserve">Template – not legal advice – Qanu – last reviewed 29 October 2026 – https://www.qanu.ai/en/templates/general-power-of-attorney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start="360" w:hanging="260"/>
      </w:pPr>
    </w:lvl>
    <w:lvl w:ilvl="1" w:tentative="1">
      <w:start w:val="1"/>
      <w:numFmt w:val="bullet"/>
      <w:lvlText w:val="◦"/>
      <w:lvlJc w:val="left"/>
      <w:pPr>
        <w:ind w:start="90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IBM Plex Sans Arabic" w:eastAsia="Calibri" w:hAnsi="Calibri"/>
        <w:sz w:val="21"/>
        <w:szCs w:val="21"/>
        <w:lang w:val="en-GB" w:bidi="ar-SA"/>
      </w:rPr>
    </w:rPrDefault>
    <w:pPrDefault>
      <w:pPr>
        <w:spacing w:after="120"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120" w:line="240" w:lineRule="auto"/>
    </w:pPr>
    <w:rPr>
      <w:rFonts w:ascii="Calibri" w:cs="IBM Plex Sans Arabic" w:eastAsia="Calibri" w:hAnsi="Calibri"/>
      <w:b/>
      <w:bCs/>
      <w:color w:val="111111"/>
      <w:sz w:val="36"/>
      <w:szCs w:val="36"/>
    </w:rPr>
  </w:style>
  <w:style w:type="paragraph" w:styleId="Heading1">
    <w:name w:val="Heading 1"/>
    <w:basedOn w:val="Normal"/>
    <w:next w:val="Normal"/>
    <w:qFormat/>
    <w:pPr>
      <w:keepNext/>
      <w:spacing w:after="120" w:before="320"/>
    </w:pPr>
    <w:rPr>
      <w:rFonts w:ascii="Calibri" w:cs="IBM Plex Sans Arabic" w:eastAsia="Calibri" w:hAnsi="Calibri"/>
      <w:b/>
      <w:bCs/>
      <w:color w:val="111111"/>
      <w:sz w:val="26"/>
      <w:szCs w:val="26"/>
    </w:rPr>
  </w:style>
  <w:style w:type="paragraph" w:styleId="Heading2">
    <w:name w:val="Heading 2"/>
    <w:basedOn w:val="Normal"/>
    <w:next w:val="Normal"/>
    <w:qFormat/>
    <w:pPr>
      <w:keepNext/>
      <w:spacing w:after="120" w:before="240"/>
    </w:pPr>
    <w:rPr>
      <w:rFonts w:ascii="Calibri" w:cs="IBM Plex Sans Arabic" w:eastAsia="Calibri" w:hAnsi="Calibri"/>
      <w:b/>
      <w:bCs/>
      <w:color w:val="111111"/>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F4E9E"/>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theme" Target="theme/theme1.xml"/><Relationship Id="rIdbumhs4qlwhynt0ztqf6ar" Type="http://schemas.openxmlformats.org/officeDocument/2006/relationships/hyperlink" Target="https://www.moj.gov.sa/ar/eServices/pages/3472d517-7cb4-4cd5-a6bc-2abc9751eea3.aspx" TargetMode="External"/><Relationship Id="rId-thjcmppuesmthtygyqoo" Type="http://schemas.openxmlformats.org/officeDocument/2006/relationships/hyperlink" Target="https://najiz.sa/applications/landing" TargetMode="External"/><Relationship Id="rIdxltmpuads4446tf-6hfxl" Type="http://schemas.openxmlformats.org/officeDocument/2006/relationships/hyperlink" Target="https://www.adjd.gov.ae/EN/Pages/notarypublics.aspx" TargetMode="External"/><Relationship Id="rIdifw1nhkl6r0butw9c8726" Type="http://schemas.openxmlformats.org/officeDocument/2006/relationships/hyperlink" Target="https://www.moj.gov.ae/en/services/esystems/e-notary.aspx" TargetMode="External"/><Relationship Id="rIdfocvknzabobntsydgjpll" Type="http://schemas.openxmlformats.org/officeDocument/2006/relationships/hyperlink" Target="https://creativecommons.org/licenses/by/4.0/deed.en" TargetMode="External"/><Relationship Id="rIdutpug3uijnqf8zykcxafn" Type="http://schemas.openxmlformats.org/officeDocument/2006/relationships/hyperlink" Target="https://www.moj.gov.sa/ar/eServices/pages/3472d517-7cb4-4cd5-a6bc-2abc9751eea3.aspx" TargetMode="External"/><Relationship Id="rIdfes-vrk5-oprpv-zu4l4k" Type="http://schemas.openxmlformats.org/officeDocument/2006/relationships/hyperlink" Target="https://najiz.sa/applications/landing" TargetMode="External"/><Relationship Id="rId2v3ahk-u6pu6k5hv8ljzq" Type="http://schemas.openxmlformats.org/officeDocument/2006/relationships/hyperlink" Target="https://www.moj.gov.sa/ar/eServices/Pages/928b8f02-19a7-482b-ba0e-29a151d9a900.aspx" TargetMode="External"/><Relationship Id="rIdctmr4pqyzuegz0qpcrhdf" Type="http://schemas.openxmlformats.org/officeDocument/2006/relationships/hyperlink" Target="https://laws.moj.gov.sa/ar/legislation/PBbHmywh1XMp-Kyv3NtQLg" TargetMode="External"/><Relationship Id="rIdf2dxzudu8luetudly6z1d" Type="http://schemas.openxmlformats.org/officeDocument/2006/relationships/hyperlink" Target="https://www.adjd.gov.ae/EN/Pages/notarypublics.aspx" TargetMode="External"/><Relationship Id="rIdpvqnmfjigaj-oqsjv6n3t" Type="http://schemas.openxmlformats.org/officeDocument/2006/relationships/hyperlink" Target="https://www.moj.gov.ae/en/services/esystems/e-notary.aspx" TargetMode="External"/><Relationship Id="rIdgwcen0qogx346hxrb37_2" Type="http://schemas.openxmlformats.org/officeDocument/2006/relationships/hyperlink" Target="https://laws.boe.gov.sa/BoeLaws/Laws/LawDetails/655fdb42-8c96-422b-b8c4-b04f0095c94c/1" TargetMode="External"/><Relationship Id="rIdid13pfzyyfiv9-kwodc3m" Type="http://schemas.openxmlformats.org/officeDocument/2006/relationships/hyperlink" Target="https://qanoon.om/p/2013/rd2013029/"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power of attorney template</dc:title>
  <dc:creator>Qanu</dc:creator>
  <cp:keywords>General power of attorney, وكالة عامة, Najiz, GCC</cp:keywords>
  <dc:description>This is a template, not legal advice. It does not create a lawyer–client relationship. Court rules, regulator guidance and laws change; check the official sources linked and have the contract reviewed by qualified counsel in each relevant jurisdiction. Last reviewed: 29 October 2026. Have it reviewed by a lawyer licensed in your jurisdiction before use. Where an official form or platform is mandatory, it prevails.</dc:description>
  <cp:lastModifiedBy>Qanu</cp:lastModifiedBy>
  <cp:revision>1</cp:revision>
  <dcterms:created xsi:type="dcterms:W3CDTF">2026-10-29T11:28:02.150Z</dcterms:created>
  <dcterms:modified xsi:type="dcterms:W3CDTF">2026-10-29T11:28:02.150Z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cense">
    <vt:lpwstr>https://creativecommons.org/licenses/by/4.0/</vt:lpwstr>
  </property>
  <property fmtid="{D5CDD505-2E9C-101B-9397-08002B2CF9AE}" pid="3" name="Source">
    <vt:lpwstr>https://www.qanu.ai/en/templates/general-power-of-attorney</vt:lpwstr>
  </property>
</Properties>
</file>