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This paper does not register a company.</w:t>
      </w:r>
      <w:r>
        <w:rPr>
          <w:rtl w:val="false"/>
        </w:rPr>
        <w:t xml:space="preserve"> If the parties want a company, incorporate it under the companies law and register it in the </w:t>
      </w:r>
      <w:hyperlink w:history="1" r:id="rIddug0b8wkiueajqsr90qdv">
        <w:r>
          <w:rPr>
            <w:rStyle w:val="Hyperlink"/>
            <w:rtl w:val="false"/>
          </w:rPr>
          <w:t xml:space="preserve">commercial register</w:t>
        </w:r>
      </w:hyperlink>
      <w:r>
        <w:rPr>
          <w:rtl w:val="false"/>
        </w:rPr>
        <w:t xml:space="preserve">. The Saudi Companies Law, Royal Decree No. M/132 of 1/12/1443H, and the UAE Commercial Companies Law, Federal Decree-Law No. 32 of 2021, are named generally. No securities-law article number is stated.</w:t>
      </w:r>
      <w:r>
        <w:rPr>
          <w:rtl w:val="false"/>
        </w:rPr>
        <w:t xml:space="preserve"> [1][2]</w:t>
      </w:r>
      <w:r>
        <w:rPr>
          <w:rtl w:val="false"/>
        </w:rPr>
        <w:t xml:space="preserve"> Other GCC states are under review.</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Saudi Companies Law: </w:t>
      </w:r>
      <w:hyperlink w:history="1" r:id="rIdrhp_ajywvwqnbf7s5n75w">
        <w:r>
          <w:rPr>
            <w:rStyle w:val="Hyperlink"/>
            <w:sz w:val="17"/>
            <w:szCs w:val="17"/>
          </w:rPr>
          <w:t xml:space="preserve">https://laws.boe.gov.sa/BoeLaws/Laws/LawDetails/a8376aea-1bc3-49d4-9027-aed900b555af/1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Commercial Companies Law: </w:t>
      </w:r>
      <w:hyperlink w:history="1" r:id="rIdav8a5jajqrt825vnqgqwj">
        <w:r>
          <w:rPr>
            <w:rStyle w:val="Hyperlink"/>
            <w:sz w:val="17"/>
            <w:szCs w:val="17"/>
          </w:rPr>
          <w:t xml:space="preserve">https://u.ae/en/information-and-services/business/Doing-business/doing-business-on-the-mainland/full-foreign-ownership-of-commercial-companies</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UAE:</w:t>
      </w:r>
      <w:r>
        <w:rPr>
          <w:sz w:val="19"/>
          <w:szCs w:val="19"/>
          <w:rtl w:val="false"/>
        </w:rPr>
        <w:t xml:space="preserve"> Federal Decree-Law No. 32 of 2021 names the company forms. This paper does not incorporate one. Formation articles of Federal Decree-Law No. 25 of 2025 are under review.</w:t>
      </w:r>
      <w:r>
        <w:rPr>
          <w:sz w:val="19"/>
          <w:szCs w:val="19"/>
          <w:rtl w:val="false"/>
        </w:rPr>
        <w:t xml:space="preserve"> [2][4][6]</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Bahrain, Qatar, Kuwait, Oman:</w:t>
      </w:r>
      <w:r>
        <w:rPr>
          <w:sz w:val="19"/>
          <w:szCs w:val="19"/>
          <w:rtl w:val="false"/>
        </w:rPr>
        <w:t xml:space="preserve"> under review. No article number is stated.</w:t>
      </w:r>
    </w:p>
    <w:p>
      <w:pPr>
        <w:bidi w:val="false"/>
        <w:spacing w:after="240"/>
      </w:pPr>
    </w:p>
    <w:p>
      <w:pPr>
        <w:pStyle w:val="Title"/>
        <w:bidi w:val="false"/>
      </w:pPr>
      <w:r>
        <w:rPr>
          <w:rtl w:val="false"/>
        </w:rPr>
        <w:t xml:space="preserve">Investment agreement</w:t>
      </w:r>
    </w:p>
    <w:p>
      <w:pPr>
        <w:bidi w:val="false"/>
        <w:spacing w:after="240"/>
      </w:pPr>
      <w:r>
        <w:rPr>
          <w:color w:val="444444"/>
          <w:rtl w:val="false"/>
        </w:rPr>
        <w:t xml:space="preserve">A party-to-party investment for the GCC: capital, ownership percentage, use of funds, information rights and exit. It does not incorporate a company and it is not a share transfer.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w:t>
      </w:r>
    </w:p>
    <w:p>
      <w:pPr>
        <w:pStyle w:val="Heading1"/>
        <w:bidi w:val="false"/>
      </w:pPr>
      <w:commentRangeStart w:id="0"/>
      <w:r>
        <w:rPr>
          <w:rtl w:val="false"/>
        </w:rPr>
        <w:t xml:space="preserve">1. Parties</w:t>
      </w:r>
      <w:commentRangeEnd w:id="0"/>
      <w:r>
        <w:rPr>
          <w:rtl w:val="false"/>
        </w:rPr>
        <w:commentReference w:id="0"/>
      </w:r>
    </w:p>
    <w:p>
      <w:pPr>
        <w:bidi w:val="false"/>
      </w:pPr>
      <w:r>
        <w:rPr>
          <w:rtl w:val="false"/>
        </w:rPr>
        <w:t xml:space="preserve">This agreement is made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between </w:t>
      </w:r>
      <w:r>
        <w:rPr>
          <w:highlight w:val="yellow"/>
          <w:rtl w:val="false"/>
        </w:rPr>
        <w:t xml:space="preserve">[</w:t>
      </w:r>
      <w:r>
        <w:rPr>
          <w:highlight w:val="yellow"/>
          <w:rtl w:val="false"/>
        </w:rPr>
        <w:t xml:space="preserve">Investor: name, ID/CR, address</w:t>
      </w:r>
      <w:r>
        <w:rPr>
          <w:highlight w:val="yellow"/>
          <w:rtl w:val="false"/>
        </w:rPr>
        <w:t xml:space="preserve">]</w:t>
      </w:r>
      <w:r>
        <w:rPr>
          <w:rtl w:val="false"/>
        </w:rPr>
        <w:t xml:space="preserve"> (the “Investor”) and </w:t>
      </w:r>
      <w:r>
        <w:rPr>
          <w:highlight w:val="yellow"/>
          <w:rtl w:val="false"/>
        </w:rPr>
        <w:t xml:space="preserve">[</w:t>
      </w:r>
      <w:r>
        <w:rPr>
          <w:highlight w:val="yellow"/>
          <w:rtl w:val="false"/>
        </w:rPr>
        <w:t xml:space="preserve">Founder / manager: name, ID/CR, address</w:t>
      </w:r>
      <w:r>
        <w:rPr>
          <w:highlight w:val="yellow"/>
          <w:rtl w:val="false"/>
        </w:rPr>
        <w:t xml:space="preserve">]</w:t>
      </w:r>
      <w:r>
        <w:rPr>
          <w:rtl w:val="false"/>
        </w:rPr>
        <w:t xml:space="preserve"> (the “Manager”).</w:t>
      </w:r>
    </w:p>
    <w:p>
      <w:pPr>
        <w:pStyle w:val="Heading1"/>
        <w:bidi w:val="false"/>
      </w:pPr>
      <w:r>
        <w:rPr>
          <w:rtl w:val="false"/>
        </w:rPr>
        <w:t xml:space="preserve">2. Capital and ownership percentage</w:t>
      </w:r>
    </w:p>
    <w:p>
      <w:pPr>
        <w:bidi w:val="false"/>
      </w:pPr>
      <w:r>
        <w:rPr>
          <w:rtl w:val="false"/>
        </w:rPr>
        <w:t xml:space="preserve">The Investor pays </w:t>
      </w:r>
      <w:r>
        <w:rPr>
          <w:highlight w:val="yellow"/>
          <w:rtl w:val="false"/>
        </w:rPr>
        <w:t xml:space="preserve">[</w:t>
      </w:r>
      <w:r>
        <w:rPr>
          <w:highlight w:val="yellow"/>
          <w:rtl w:val="false"/>
        </w:rPr>
        <w:t xml:space="preserve">amount, currency</w:t>
      </w:r>
      <w:r>
        <w:rPr>
          <w:highlight w:val="yellow"/>
          <w:rtl w:val="false"/>
        </w:rPr>
        <w:t xml:space="preserve">]</w:t>
      </w:r>
      <w:r>
        <w:rPr>
          <w:rtl w:val="false"/>
        </w:rPr>
        <w:t xml:space="preserve"> on </w:t>
      </w:r>
      <w:r>
        <w:rPr>
          <w:highlight w:val="yellow"/>
          <w:rtl w:val="false"/>
        </w:rPr>
        <w:t xml:space="preserve">[</w:t>
      </w:r>
      <w:r>
        <w:rPr>
          <w:highlight w:val="yellow"/>
          <w:rtl w:val="false"/>
        </w:rPr>
        <w:t xml:space="preserve">date / instalments</w:t>
      </w:r>
      <w:r>
        <w:rPr>
          <w:highlight w:val="yellow"/>
          <w:rtl w:val="false"/>
        </w:rPr>
        <w:t xml:space="preserve">]</w:t>
      </w:r>
      <w:r>
        <w:rPr>
          <w:rtl w:val="false"/>
        </w:rPr>
        <w:t xml:space="preserve">. The Investor’s ownership percentage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Manager’s percentage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bidi w:val="false"/>
      </w:pPr>
      <w:r>
        <w:rPr>
          <w:rtl w:val="false"/>
        </w:rPr>
        <w:t xml:space="preserve">The money is </w:t>
      </w:r>
      <w:r>
        <w:rPr>
          <w:highlight w:val="yellow"/>
          <w:rtl w:val="false"/>
        </w:rPr>
        <w:t xml:space="preserve">[</w:t>
      </w:r>
      <w:r>
        <w:rPr>
          <w:highlight w:val="yellow"/>
          <w:rtl w:val="false"/>
        </w:rPr>
        <w:t xml:space="preserve">returned before profit / treated as a share of the result</w:t>
      </w:r>
      <w:r>
        <w:rPr>
          <w:highlight w:val="yellow"/>
          <w:rtl w:val="false"/>
        </w:rPr>
        <w:t xml:space="preserve">]</w:t>
      </w:r>
      <w:r>
        <w:rPr>
          <w:rtl w:val="false"/>
        </w:rPr>
        <w:t xml:space="preserve">. Do not leave that blank. Do not call the money shares in a company unless a company is incorporated.</w:t>
      </w:r>
    </w:p>
    <w:p>
      <w:pPr>
        <w:pStyle w:val="Heading1"/>
        <w:bidi w:val="false"/>
      </w:pPr>
      <w:r>
        <w:rPr>
          <w:rtl w:val="false"/>
        </w:rPr>
        <w:t xml:space="preserve">3. Use of funds</w:t>
      </w:r>
    </w:p>
    <w:p>
      <w:pPr>
        <w:bidi w:val="false"/>
      </w:pPr>
      <w:r>
        <w:rPr>
          <w:rtl w:val="false"/>
        </w:rPr>
        <w:t xml:space="preserve">The funds are used only for </w:t>
      </w:r>
      <w:r>
        <w:rPr>
          <w:highlight w:val="yellow"/>
          <w:rtl w:val="false"/>
        </w:rPr>
        <w:t xml:space="preserve">[</w:t>
      </w:r>
      <w:r>
        <w:rPr>
          <w:highlight w:val="yellow"/>
          <w:rtl w:val="false"/>
        </w:rPr>
        <w:t xml:space="preserve">describe the project</w:t>
      </w:r>
      <w:r>
        <w:rPr>
          <w:highlight w:val="yellow"/>
          <w:rtl w:val="false"/>
        </w:rPr>
        <w:t xml:space="preserve">]</w:t>
      </w:r>
      <w:r>
        <w:rPr>
          <w:rtl w:val="false"/>
        </w:rPr>
        <w:t xml:space="preserve">. Out of scope: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Spending above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needs the Investor’s prior written consent.</w:t>
      </w:r>
    </w:p>
    <w:p>
      <w:pPr>
        <w:pStyle w:val="Heading1"/>
        <w:bidi w:val="false"/>
      </w:pPr>
      <w:commentRangeStart w:id="1"/>
      <w:r>
        <w:rPr>
          <w:rtl w:val="false"/>
        </w:rPr>
        <w:t xml:space="preserve">4. Nature of the relationship</w:t>
      </w:r>
      <w:commentRangeEnd w:id="1"/>
      <w:r>
        <w:rPr>
          <w:rtl w:val="false"/>
        </w:rPr>
        <w:commentReference w:id="1"/>
      </w:r>
    </w:p>
    <w:p>
      <w:pPr>
        <w:bidi w:val="false"/>
      </w:pPr>
      <w:r>
        <w:rPr>
          <w:rtl w:val="false"/>
        </w:rPr>
        <w:t xml:space="preserve">This agreement is a contractual arrangement. It does not incorporate a company and it does not register anyone in the commercial register.</w:t>
      </w:r>
    </w:p>
    <w:p>
      <w:pPr>
        <w:pStyle w:val="Heading1"/>
        <w:bidi w:val="false"/>
      </w:pPr>
      <w:r>
        <w:rPr>
          <w:rtl w:val="false"/>
        </w:rPr>
        <w:t xml:space="preserve">5. Information rights and management</w:t>
      </w:r>
    </w:p>
    <w:p>
      <w:pPr>
        <w:bidi w:val="false"/>
      </w:pPr>
      <w:r>
        <w:rPr>
          <w:rtl w:val="false"/>
        </w:rPr>
        <w:t xml:space="preserve">The Manager decides day-to-day operations within </w:t>
      </w:r>
      <w:r>
        <w:rPr>
          <w:highlight w:val="yellow"/>
          <w:rtl w:val="false"/>
        </w:rPr>
        <w:t xml:space="preserve">[</w:t>
      </w:r>
      <w:r>
        <w:rPr>
          <w:highlight w:val="yellow"/>
          <w:rtl w:val="false"/>
        </w:rPr>
        <w:t xml:space="preserve">limit</w:t>
      </w:r>
      <w:r>
        <w:rPr>
          <w:highlight w:val="yellow"/>
          <w:rtl w:val="false"/>
        </w:rPr>
        <w:t xml:space="preserve">]</w:t>
      </w:r>
      <w:r>
        <w:rPr>
          <w:rtl w:val="false"/>
        </w:rPr>
        <w:t xml:space="preserve">. These acts need the Investor’s written consent: </w:t>
      </w:r>
      <w:r>
        <w:rPr>
          <w:highlight w:val="yellow"/>
          <w:rtl w:val="false"/>
        </w:rPr>
        <w:t xml:space="preserve">[</w:t>
      </w:r>
      <w:r>
        <w:rPr>
          <w:highlight w:val="yellow"/>
          <w:rtl w:val="false"/>
        </w:rPr>
        <w:t xml:space="preserve">borrowing / disposing of assets / contracts above ●</w:t>
      </w:r>
      <w:r>
        <w:rPr>
          <w:highlight w:val="yellow"/>
          <w:rtl w:val="false"/>
        </w:rPr>
        <w:t xml:space="preserve">]</w:t>
      </w:r>
      <w:r>
        <w:rPr>
          <w:rtl w:val="false"/>
        </w:rPr>
        <w:t xml:space="preserve">.</w:t>
      </w:r>
    </w:p>
    <w:p>
      <w:pPr>
        <w:bidi w:val="false"/>
      </w:pPr>
      <w:r>
        <w:rPr>
          <w:rtl w:val="false"/>
        </w:rPr>
        <w:t xml:space="preserve">The Manager delivers </w:t>
      </w:r>
      <w:r>
        <w:rPr>
          <w:highlight w:val="yellow"/>
          <w:rtl w:val="false"/>
        </w:rPr>
        <w:t xml:space="preserve">[</w:t>
      </w:r>
      <w:r>
        <w:rPr>
          <w:highlight w:val="yellow"/>
          <w:rtl w:val="false"/>
        </w:rPr>
        <w:t xml:space="preserve">accounts / bank statements / a written report</w:t>
      </w:r>
      <w:r>
        <w:rPr>
          <w:highlight w:val="yellow"/>
          <w:rtl w:val="false"/>
        </w:rPr>
        <w:t xml:space="preserve">]</w:t>
      </w:r>
      <w:r>
        <w:rPr>
          <w:rtl w:val="false"/>
        </w:rPr>
        <w:t xml:space="preserve"> to the Investor every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The Investor may inspect the books on reasonable notice.</w:t>
      </w:r>
    </w:p>
    <w:p>
      <w:pPr>
        <w:pStyle w:val="Heading1"/>
        <w:bidi w:val="false"/>
      </w:pPr>
      <w:commentRangeStart w:id="2"/>
      <w:r>
        <w:rPr>
          <w:rtl w:val="false"/>
        </w:rPr>
        <w:t xml:space="preserve">6. Exit</w:t>
      </w:r>
      <w:commentRangeEnd w:id="2"/>
      <w:r>
        <w:rPr>
          <w:rtl w:val="false"/>
        </w:rPr>
        <w:commentReference w:id="2"/>
      </w:r>
    </w:p>
    <w:p>
      <w:pPr>
        <w:bidi w:val="false"/>
      </w:pPr>
      <w:r>
        <w:rPr>
          <w:rtl w:val="false"/>
        </w:rPr>
        <w:t xml:space="preserve">Either party may leave by written notice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What is returned on exit: </w:t>
      </w:r>
      <w:r>
        <w:rPr>
          <w:highlight w:val="yellow"/>
          <w:rtl w:val="false"/>
        </w:rPr>
        <w:t xml:space="preserve">[</w:t>
      </w:r>
      <w:r>
        <w:rPr>
          <w:highlight w:val="yellow"/>
          <w:rtl w:val="false"/>
        </w:rPr>
        <w:t xml:space="preserve">amount, valuation method, timing</w:t>
      </w:r>
      <w:r>
        <w:rPr>
          <w:highlight w:val="yellow"/>
          <w:rtl w:val="false"/>
        </w:rPr>
        <w:t xml:space="preserve">]</w:t>
      </w:r>
      <w:r>
        <w:rPr>
          <w:rtl w:val="false"/>
        </w:rPr>
        <w:t xml:space="preserve">.</w:t>
      </w:r>
    </w:p>
    <w:p>
      <w:pPr>
        <w:pStyle w:val="Heading1"/>
        <w:bidi w:val="false"/>
      </w:pPr>
      <w:r>
        <w:rPr>
          <w:rtl w:val="false"/>
        </w:rPr>
        <w:t xml:space="preserve">7. What this agreement is not</w:t>
      </w:r>
    </w:p>
    <w:p>
      <w:pPr>
        <w:bidi w:val="false"/>
        <w:ind w:start="360" w:hanging="0"/>
      </w:pPr>
      <w:r>
        <w:rPr>
          <w:rtl w:val="false"/>
        </w:rPr>
        <w:t xml:space="preserve">(a) It does not incorporate a company. Use the </w:t>
      </w:r>
      <w:hyperlink w:history="1" r:id="rId0mslp1jkpthwdifyxcq--">
        <w:r>
          <w:rPr>
            <w:rStyle w:val="Hyperlink"/>
            <w:rtl w:val="false"/>
          </w:rPr>
          <w:t xml:space="preserve">memorandum of association</w:t>
        </w:r>
      </w:hyperlink>
      <w:r>
        <w:rPr>
          <w:rtl w:val="false"/>
        </w:rPr>
        <w:t xml:space="preserve"> or the </w:t>
      </w:r>
      <w:hyperlink w:history="1" r:id="rIdki0rqsydhriuu8ivax-1m">
        <w:r>
          <w:rPr>
            <w:rStyle w:val="Hyperlink"/>
            <w:rtl w:val="false"/>
          </w:rPr>
          <w:t xml:space="preserve">articles of association</w:t>
        </w:r>
      </w:hyperlink>
      <w:r>
        <w:rPr>
          <w:rtl w:val="false"/>
        </w:rPr>
        <w:t xml:space="preserve">.</w:t>
      </w:r>
    </w:p>
    <w:p>
      <w:pPr>
        <w:bidi w:val="false"/>
        <w:ind w:start="360" w:hanging="0"/>
      </w:pPr>
      <w:r>
        <w:rPr>
          <w:rtl w:val="false"/>
        </w:rPr>
        <w:t xml:space="preserve">(b) It is not a share transfer. Use the </w:t>
      </w:r>
      <w:hyperlink w:history="1" r:id="rIdmxvm166iirkkubclj-jod">
        <w:r>
          <w:rPr>
            <w:rStyle w:val="Hyperlink"/>
            <w:rtl w:val="false"/>
          </w:rPr>
          <w:t xml:space="preserve">share transfer agreement</w:t>
        </w:r>
      </w:hyperlink>
      <w:r>
        <w:rPr>
          <w:rtl w:val="false"/>
        </w:rPr>
        <w:t xml:space="preserve">.</w:t>
      </w:r>
    </w:p>
    <w:p>
      <w:pPr>
        <w:bidi w:val="false"/>
        <w:ind w:start="360" w:hanging="0"/>
      </w:pPr>
      <w:r>
        <w:rPr>
          <w:rtl w:val="false"/>
        </w:rPr>
        <w:t xml:space="preserve">(c) A profit split without an ownership percentage is the </w:t>
      </w:r>
      <w:hyperlink w:history="1" r:id="rIdqyalppt3l1alhvngsyhjf">
        <w:r>
          <w:rPr>
            <w:rStyle w:val="Hyperlink"/>
            <w:rtl w:val="false"/>
          </w:rPr>
          <w:t xml:space="preserve">partnership agreement</w:t>
        </w:r>
      </w:hyperlink>
      <w:r>
        <w:rPr>
          <w:rtl w:val="false"/>
        </w:rPr>
        <w:t xml:space="preserve">.</w:t>
      </w:r>
    </w:p>
    <w:p>
      <w:pPr>
        <w:bidi w:val="false"/>
        <w:ind w:start="360" w:hanging="0"/>
      </w:pPr>
      <w:r>
        <w:rPr>
          <w:rtl w:val="false"/>
        </w:rPr>
        <w:t xml:space="preserve">(d) Limited joint work without capital is the </w:t>
      </w:r>
      <w:hyperlink w:history="1" r:id="rId08hcm4otxfw9drpca78qm">
        <w:r>
          <w:rPr>
            <w:rStyle w:val="Hyperlink"/>
            <w:rtl w:val="false"/>
          </w:rPr>
          <w:t xml:space="preserve">cooperation agreement</w:t>
        </w:r>
      </w:hyperlink>
      <w:r>
        <w:rPr>
          <w:rtl w:val="false"/>
        </w:rPr>
        <w:t xml:space="preserve">.</w:t>
      </w:r>
    </w:p>
    <w:p>
      <w:pPr>
        <w:pStyle w:val="Heading1"/>
        <w:bidi w:val="false"/>
      </w:pPr>
      <w:commentRangeStart w:id="3"/>
      <w:r>
        <w:rPr>
          <w:rtl w:val="false"/>
        </w:rPr>
        <w:t xml:space="preserve">8. Governing law and signatures</w:t>
      </w:r>
      <w:commentRangeEnd w:id="3"/>
      <w:r>
        <w:rPr>
          <w:rtl w:val="false"/>
        </w:rPr>
        <w:commentReference w:id="3"/>
      </w:r>
    </w:p>
    <w:p>
      <w:pPr>
        <w:bidi w:val="false"/>
      </w:pPr>
      <w:r>
        <w:rPr>
          <w:rtl w:val="false"/>
        </w:rPr>
        <w:t xml:space="preserve">Governed by the laws of </w:t>
      </w:r>
      <w:r>
        <w:rPr>
          <w:highlight w:val="yellow"/>
          <w:rtl w:val="false"/>
        </w:rPr>
        <w:t xml:space="preserve">[</w:t>
      </w:r>
      <w:r>
        <w:rPr>
          <w:highlight w:val="yellow"/>
          <w:rtl w:val="false"/>
        </w:rPr>
        <w:t xml:space="preserve">country</w:t>
      </w:r>
      <w:r>
        <w:rPr>
          <w:highlight w:val="yellow"/>
          <w:rtl w:val="false"/>
        </w:rPr>
        <w:t xml:space="preserve">]</w:t>
      </w:r>
      <w:r>
        <w:rPr>
          <w:rtl w:val="false"/>
        </w:rPr>
        <w:t xml:space="preserve">. A dispute goes to </w:t>
      </w:r>
      <w:r>
        <w:rPr>
          <w:highlight w:val="yellow"/>
          <w:rtl w:val="false"/>
        </w:rPr>
        <w:t xml:space="preserve">[</w:t>
      </w:r>
      <w:r>
        <w:rPr>
          <w:highlight w:val="yellow"/>
          <w:rtl w:val="false"/>
        </w:rPr>
        <w:t xml:space="preserve">the courts of ● / arbitration under ●</w:t>
      </w:r>
      <w:r>
        <w:rPr>
          <w:highlight w:val="yellow"/>
          <w:rtl w:val="false"/>
        </w:rPr>
        <w:t xml:space="preserve">]</w:t>
      </w:r>
      <w:r>
        <w:rPr>
          <w:rtl w:val="false"/>
        </w:rPr>
        <w:t xml:space="preserve">. Arabic and English, with Arabic prevailing in Saudi Arabia.</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Investor:</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Manager:</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Saudi Arabia notes</w:t>
      </w:r>
    </w:p>
    <w:p>
      <w:pPr>
        <w:bidi w:val="false"/>
      </w:pPr>
      <w:r>
        <w:rPr>
          <w:rtl w:val="false"/>
        </w:rPr>
        <w:t xml:space="preserve">Companies Law and Civil Transactions Law, named generally.</w:t>
      </w:r>
      <w:r>
        <w:rPr>
          <w:rtl w:val="false"/>
        </w:rPr>
        <w:t xml:space="preserve"> [1][3][5]</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to do</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 company</w:t>
            </w:r>
          </w:p>
        </w:tc>
        <w:tc>
          <w:tcPr>
            <w:tcMar>
              <w:top w:type="dxa" w:w="80"/>
              <w:left w:type="dxa" w:w="100"/>
              <w:bottom w:type="dxa" w:w="80"/>
              <w:right w:type="dxa" w:w="100"/>
            </w:tcMar>
          </w:tcPr>
          <w:p>
            <w:pPr>
              <w:bidi w:val="false"/>
              <w:spacing w:after="0"/>
            </w:pPr>
            <w:r>
              <w:rPr>
                <w:b w:val="false"/>
                <w:sz w:val="18"/>
                <w:szCs w:val="18"/>
                <w:rtl w:val="false"/>
              </w:rPr>
              <w:t xml:space="preserve">Incorporate under the Companies Law, Royal Decree No. M/132 of 1/12/1443H, and register it. This paper does not do that.</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This contract</w:t>
            </w:r>
          </w:p>
        </w:tc>
        <w:tc>
          <w:tcPr>
            <w:tcMar>
              <w:top w:type="dxa" w:w="80"/>
              <w:left w:type="dxa" w:w="100"/>
              <w:bottom w:type="dxa" w:w="80"/>
              <w:right w:type="dxa" w:w="100"/>
            </w:tcMar>
          </w:tcPr>
          <w:p>
            <w:pPr>
              <w:bidi w:val="false"/>
              <w:spacing w:after="0"/>
            </w:pPr>
            <w:r>
              <w:rPr>
                <w:b w:val="false"/>
                <w:sz w:val="18"/>
                <w:szCs w:val="18"/>
                <w:rtl w:val="false"/>
              </w:rPr>
              <w:t xml:space="preserve">Formation follows the Civil Transactions Law. No securities-law article number is stated.</w:t>
            </w:r>
            <w:r>
              <w:rPr>
                <w:b w:val="false"/>
                <w:sz w:val="18"/>
                <w:szCs w:val="18"/>
                <w:rtl w:val="false"/>
              </w:rPr>
              <w:t xml:space="preserve"> [3][5]</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Share transfer</w:t>
            </w:r>
          </w:p>
        </w:tc>
        <w:tc>
          <w:tcPr>
            <w:tcMar>
              <w:top w:type="dxa" w:w="80"/>
              <w:left w:type="dxa" w:w="100"/>
              <w:bottom w:type="dxa" w:w="80"/>
              <w:right w:type="dxa" w:w="100"/>
            </w:tcMar>
          </w:tcPr>
          <w:p>
            <w:pPr>
              <w:bidi w:val="false"/>
              <w:spacing w:after="0"/>
            </w:pPr>
            <w:r>
              <w:rPr>
                <w:b w:val="false"/>
                <w:sz w:val="18"/>
                <w:szCs w:val="18"/>
                <w:rtl w:val="false"/>
              </w:rPr>
              <w:t xml:space="preserve">A later sale of shares in an existing company is a different template.</w:t>
            </w:r>
          </w:p>
        </w:tc>
      </w:tr>
    </w:tbl>
    <w:p>
      <w:pPr>
        <w:bidi w:val="false"/>
      </w:pPr>
    </w:p>
    <w:p>
      <w:pPr>
        <w:pStyle w:val="Heading1"/>
        <w:pageBreakBefore/>
        <w:bidi w:val="false"/>
      </w:pPr>
      <w:r>
        <w:rPr>
          <w:rtl w:val="false"/>
        </w:rPr>
        <w:t xml:space="preserve">UAE notes</w:t>
      </w:r>
    </w:p>
    <w:p>
      <w:pPr>
        <w:bidi w:val="false"/>
      </w:pPr>
      <w:r>
        <w:rPr>
          <w:rtl w:val="false"/>
        </w:rPr>
        <w:t xml:space="preserve">Companies Law named generally. Formation articles under review.</w:t>
      </w:r>
      <w:r>
        <w:rPr>
          <w:rtl w:val="false"/>
        </w:rPr>
        <w:t xml:space="preserve"> [2][4][6]</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to do</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 company</w:t>
            </w:r>
          </w:p>
        </w:tc>
        <w:tc>
          <w:tcPr>
            <w:tcMar>
              <w:top w:type="dxa" w:w="80"/>
              <w:left w:type="dxa" w:w="100"/>
              <w:bottom w:type="dxa" w:w="80"/>
              <w:right w:type="dxa" w:w="100"/>
            </w:tcMar>
          </w:tcPr>
          <w:p>
            <w:pPr>
              <w:bidi w:val="false"/>
              <w:spacing w:after="0"/>
            </w:pPr>
            <w:r>
              <w:rPr>
                <w:b w:val="false"/>
                <w:sz w:val="18"/>
                <w:szCs w:val="18"/>
                <w:rtl w:val="false"/>
              </w:rPr>
              <w:t xml:space="preserve">Federal Decree-Law No. 32 of 2021. This paper does not incorporate one.</w:t>
            </w:r>
            <w:r>
              <w:rPr>
                <w:b w:val="false"/>
                <w:sz w:val="18"/>
                <w:szCs w:val="18"/>
                <w:rtl w:val="false"/>
              </w:rPr>
              <w:t xml:space="preserve"> [2]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Formation</w:t>
            </w:r>
          </w:p>
        </w:tc>
        <w:tc>
          <w:tcPr>
            <w:tcMar>
              <w:top w:type="dxa" w:w="80"/>
              <w:left w:type="dxa" w:w="100"/>
              <w:bottom w:type="dxa" w:w="80"/>
              <w:right w:type="dxa" w:w="100"/>
            </w:tcMar>
          </w:tcPr>
          <w:p>
            <w:pPr>
              <w:bidi w:val="false"/>
              <w:spacing w:after="0"/>
            </w:pPr>
            <w:r>
              <w:rPr>
                <w:b w:val="false"/>
                <w:sz w:val="18"/>
                <w:szCs w:val="18"/>
                <w:rtl w:val="false"/>
              </w:rPr>
              <w:t xml:space="preserve">Federal Decree-Law No. 25 of 2025. Formation articles are under review. No article number.</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Other GCC</w:t>
            </w:r>
          </w:p>
        </w:tc>
        <w:tc>
          <w:tcPr>
            <w:tcMar>
              <w:top w:type="dxa" w:w="80"/>
              <w:left w:type="dxa" w:w="100"/>
              <w:bottom w:type="dxa" w:w="80"/>
              <w:right w:type="dxa" w:w="100"/>
            </w:tcMar>
          </w:tcPr>
          <w:p>
            <w:pPr>
              <w:bidi w:val="false"/>
              <w:spacing w:after="0"/>
            </w:pPr>
            <w:r>
              <w:rPr>
                <w:b w:val="false"/>
                <w:sz w:val="18"/>
                <w:szCs w:val="18"/>
                <w:rtl w:val="false"/>
              </w:rPr>
              <w:t xml:space="preserve">Under review. No article number is stated.</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oqoafbuma6sftyumv56xv">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https://www.qanu.ai/en/templates/investment-agreement · Last reviewed: 29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Companies Law, Royal Decree No. M/132 dated 1/12/1443H (30 June 2022) </w:t>
      </w:r>
      <w:hyperlink w:history="1" r:id="rIdm1ra35w95yzh4cssa9z87">
        <w:r>
          <w:rPr>
            <w:rStyle w:val="Hyperlink"/>
            <w:sz w:val="16"/>
            <w:szCs w:val="16"/>
          </w:rPr>
          <w:t xml:space="preserve">https://laws.boe.gov.sa/BoeLaws/Laws/LawDetails/a8376aea-1bc3-49d4-9027-aed900b555af/1</w:t>
        </w:r>
      </w:hyperlink>
    </w:p>
    <w:p>
      <w:pPr>
        <w:bidi w:val="false"/>
        <w:ind w:start="360" w:hanging="360"/>
      </w:pPr>
      <w:r>
        <w:rPr>
          <w:sz w:val="18"/>
          <w:szCs w:val="18"/>
          <w:rtl w:val="false"/>
        </w:rPr>
        <w:t xml:space="preserve">[2] UAE Government portal (u.ae), Commercial Companies Law (Federal Decree-Law No. 32 of 2021) </w:t>
      </w:r>
      <w:hyperlink w:history="1" r:id="rIdske57pifmr05fyv5wlxg-">
        <w:r>
          <w:rPr>
            <w:rStyle w:val="Hyperlink"/>
            <w:sz w:val="16"/>
            <w:szCs w:val="16"/>
          </w:rPr>
          <w:t xml:space="preserve">https://u.ae/en/information-and-services/business/Doing-business/doing-business-on-the-mainland/full-foreign-ownership-of-commercial-companies</w:t>
        </w:r>
      </w:hyperlink>
    </w:p>
    <w:p>
      <w:pPr>
        <w:bidi w:val="false"/>
        <w:ind w:start="360" w:hanging="360"/>
      </w:pPr>
      <w:r>
        <w:rPr>
          <w:sz w:val="18"/>
          <w:szCs w:val="18"/>
          <w:rtl w:val="false"/>
        </w:rPr>
        <w:t xml:space="preserve">[3] Ministry of Justice legal portal, Civil Transactions Law (Royal Decree No. M/191 of 29/11/1444H) </w:t>
      </w:r>
      <w:hyperlink w:history="1" r:id="rIdb9vmxbh-jvr128kyehoew">
        <w:r>
          <w:rPr>
            <w:rStyle w:val="Hyperlink"/>
            <w:sz w:val="16"/>
            <w:szCs w:val="16"/>
          </w:rPr>
          <w:t xml:space="preserve">https://laws.moj.gov.sa/ar/legislation/PBbHmywh1XMp-Kyv3NtQLg</w:t>
        </w:r>
      </w:hyperlink>
    </w:p>
    <w:p>
      <w:pPr>
        <w:bidi w:val="false"/>
        <w:ind w:start="360" w:hanging="360"/>
      </w:pPr>
      <w:r>
        <w:rPr>
          <w:sz w:val="18"/>
          <w:szCs w:val="18"/>
          <w:rtl w:val="false"/>
        </w:rPr>
        <w:t xml:space="preserve">[4] UAE Legislation, Federal Decree-Law No. 25 of 2025 (Civil Transactions Law) </w:t>
      </w:r>
      <w:hyperlink w:history="1" r:id="rIdb5lsmhoyzpavxzaaskq5d">
        <w:r>
          <w:rPr>
            <w:rStyle w:val="Hyperlink"/>
            <w:sz w:val="16"/>
            <w:szCs w:val="16"/>
          </w:rPr>
          <w:t xml:space="preserve">https://uaelegislation.gov.ae/en/legislations/4011</w:t>
        </w:r>
      </w:hyperlink>
    </w:p>
    <w:p>
      <w:pPr>
        <w:bidi w:val="false"/>
        <w:ind w:start="360" w:hanging="360"/>
      </w:pPr>
      <w:r>
        <w:rPr>
          <w:sz w:val="18"/>
          <w:szCs w:val="18"/>
          <w:rtl w:val="false"/>
        </w:rPr>
        <w:t xml:space="preserve">[5] Bureau of Experts, Civil Transactions Law (Royal Decree No. M/191 of 29/11/1444H) </w:t>
      </w:r>
      <w:hyperlink w:history="1" r:id="rIdm_vmkgupr1fq3denqbsna">
        <w:r>
          <w:rPr>
            <w:rStyle w:val="Hyperlink"/>
            <w:sz w:val="16"/>
            <w:szCs w:val="16"/>
          </w:rPr>
          <w:t xml:space="preserve">https://laws.boe.gov.sa/BoeLaws/Laws/LawDetails/655fdb42-8c96-422b-b8c4-b04f0095c94c/1</w:t>
        </w:r>
      </w:hyperlink>
    </w:p>
    <w:p>
      <w:pPr>
        <w:bidi w:val="false"/>
        <w:ind w:start="360" w:hanging="360"/>
      </w:pPr>
      <w:r>
        <w:rPr>
          <w:sz w:val="18"/>
          <w:szCs w:val="18"/>
          <w:rtl w:val="false"/>
        </w:rPr>
        <w:t xml:space="preserve">[6] UAE Government portal (u.ae), Where to find the UAE's federal laws </w:t>
      </w:r>
      <w:hyperlink w:history="1" r:id="rIdgxrw5crdqp88v2wd2j69t">
        <w:r>
          <w:rPr>
            <w:rStyle w:val="Hyperlink"/>
            <w:sz w:val="16"/>
            <w:szCs w:val="16"/>
          </w:rPr>
          <w:t xml:space="preserve">https://u.ae/en/information-and-services/justice-safety-and-the-law/Law/how-are-uae-laws-issued-and-how-to-find-them/where-to-find-uae-federal-laws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val="false"/>
      </w:pPr>
      <w:r>
        <w:rPr>
          <w:b/>
          <w:bCs/>
          <w:rtl w:val="false"/>
        </w:rPr>
        <w:t xml:space="preserve">Drafting note</w:t>
      </w:r>
    </w:p>
    <w:p>
      <w:pPr>
        <w:bidi w:val="false"/>
      </w:pPr>
      <w:r>
        <w:rPr>
          <w:rtl w:val="false"/>
        </w:rPr>
        <w:t xml:space="preserve">Use the name on the ID or in the </w:t>
      </w:r>
      <w:hyperlink w:history="1" r:id="rIdf3tumvgrevnz-uqrwzpbc">
        <w:r>
          <w:rPr>
            <w:rStyle w:val="Hyperlink"/>
            <w:rtl w:val="false"/>
          </w:rPr>
          <w:t xml:space="preserve">commercial register</w:t>
        </w:r>
      </w:hyperlink>
      <w:r>
        <w:rPr>
          <w:rtl w:val="false"/>
        </w:rPr>
        <w:t xml:space="preserve">.</w:t>
      </w:r>
    </w:p>
  </w:comment>
  <w:comment w:id="1" w:initials="Q" w:author="Qanu" w:date="2026-10-29T00:00:00.000Z">
    <w:p>
      <w:pPr>
        <w:bidi w:val="false"/>
      </w:pPr>
      <w:r>
        <w:rPr>
          <w:b/>
          <w:bCs/>
          <w:rtl w:val="false"/>
        </w:rPr>
        <w:t xml:space="preserve">Drafting note</w:t>
      </w:r>
    </w:p>
    <w:p>
      <w:pPr>
        <w:bidi w:val="false"/>
      </w:pPr>
      <w:r>
        <w:rPr>
          <w:rtl w:val="false"/>
        </w:rPr>
        <w:t xml:space="preserve">If the parties later incorporate, use the </w:t>
      </w:r>
      <w:hyperlink w:history="1" r:id="rIdhwh0cd6gymovhxxgoccce">
        <w:r>
          <w:rPr>
            <w:rStyle w:val="Hyperlink"/>
            <w:rtl w:val="false"/>
          </w:rPr>
          <w:t xml:space="preserve">memorandum of association</w:t>
        </w:r>
      </w:hyperlink>
      <w:r>
        <w:rPr>
          <w:rtl w:val="false"/>
        </w:rPr>
        <w:t xml:space="preserve"> or the </w:t>
      </w:r>
      <w:hyperlink w:history="1" r:id="rId1bbquntnads9urjzcgxve">
        <w:r>
          <w:rPr>
            <w:rStyle w:val="Hyperlink"/>
            <w:rtl w:val="false"/>
          </w:rPr>
          <w:t xml:space="preserve">articles of association</w:t>
        </w:r>
      </w:hyperlink>
      <w:r>
        <w:rPr>
          <w:rtl w:val="false"/>
        </w:rPr>
        <w:t xml:space="preserve">. A sale of shares in a company that already exists is the </w:t>
      </w:r>
      <w:hyperlink w:history="1" r:id="rIdet6_wuwoa_xcxsliirfsn">
        <w:r>
          <w:rPr>
            <w:rStyle w:val="Hyperlink"/>
            <w:rtl w:val="false"/>
          </w:rPr>
          <w:t xml:space="preserve">share transfer agreement</w:t>
        </w:r>
      </w:hyperlink>
      <w:r>
        <w:rPr>
          <w:rtl w:val="false"/>
        </w:rPr>
        <w:t xml:space="preserve">.</w:t>
      </w:r>
    </w:p>
  </w:comment>
  <w:comment w:id="2" w:initials="Q" w:author="Qanu" w:date="2026-10-29T00:00:00.000Z">
    <w:p>
      <w:pPr>
        <w:bidi w:val="false"/>
      </w:pPr>
      <w:r>
        <w:rPr>
          <w:b/>
          <w:bCs/>
          <w:rtl w:val="false"/>
        </w:rPr>
        <w:t xml:space="preserve">Drafting note</w:t>
      </w:r>
    </w:p>
    <w:p>
      <w:pPr>
        <w:bidi w:val="false"/>
      </w:pPr>
      <w:r>
        <w:rPr>
          <w:rtl w:val="false"/>
        </w:rPr>
        <w:t xml:space="preserve">Name the valuer and the payment timing. Take advice before signing.</w:t>
      </w:r>
    </w:p>
  </w:comment>
  <w:comment w:id="3" w:initials="Q" w:author="Qanu" w:date="2026-10-29T00:00:00.000Z">
    <w:p>
      <w:pPr>
        <w:bidi w:val="false"/>
      </w:pPr>
      <w:r>
        <w:rPr>
          <w:b/>
          <w:bCs/>
          <w:rtl w:val="false"/>
        </w:rPr>
        <w:t xml:space="preserve">Drafting note</w:t>
      </w:r>
    </w:p>
    <w:p>
      <w:pPr>
        <w:bidi w:val="false"/>
      </w:pPr>
      <w:r>
        <w:rPr>
          <w:rtl w:val="false"/>
        </w:rPr>
        <w:t xml:space="preserve">This is a starting point. Have it reviewed by a lawyer licensed in the relevant jurisdiction before you use it. No securities-law article number is stated.</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29 October 2026 – https://www.qanu.ai/en/templates/investment-agreement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29 October 2026 – https://www.qanu.ai/en/templates/investment-agreement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f3tumvgrevnz-uqrwzpbc" Type="http://schemas.openxmlformats.org/officeDocument/2006/relationships/hyperlink" Target="https://www.qanu.ai/en/glossary/commercial-registration" TargetMode="External"/><Relationship Id="rIdhwh0cd6gymovhxxgoccce" Type="http://schemas.openxmlformats.org/officeDocument/2006/relationships/hyperlink" Target="https://www.qanu.ai/en/templates/memorandum-of-association" TargetMode="External"/><Relationship Id="rId1bbquntnads9urjzcgxve" Type="http://schemas.openxmlformats.org/officeDocument/2006/relationships/hyperlink" Target="https://www.qanu.ai/en/templates/articles-of-association" TargetMode="External"/><Relationship Id="rIdet6_wuwoa_xcxsliirfsn" Type="http://schemas.openxmlformats.org/officeDocument/2006/relationships/hyperlink" Target="https://www.qanu.ai/en/templates/share-transfer-agreement"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dug0b8wkiueajqsr90qdv" Type="http://schemas.openxmlformats.org/officeDocument/2006/relationships/hyperlink" Target="https://www.qanu.ai/en/glossary/commercial-registration" TargetMode="External"/><Relationship Id="rIdrhp_ajywvwqnbf7s5n75w" Type="http://schemas.openxmlformats.org/officeDocument/2006/relationships/hyperlink" Target="https://laws.boe.gov.sa/BoeLaws/Laws/LawDetails/a8376aea-1bc3-49d4-9027-aed900b555af/1" TargetMode="External"/><Relationship Id="rIdav8a5jajqrt825vnqgqwj" Type="http://schemas.openxmlformats.org/officeDocument/2006/relationships/hyperlink" Target="https://u.ae/en/information-and-services/business/Doing-business/doing-business-on-the-mainland/full-foreign-ownership-of-commercial-companies" TargetMode="External"/><Relationship Id="rId0mslp1jkpthwdifyxcq--" Type="http://schemas.openxmlformats.org/officeDocument/2006/relationships/hyperlink" Target="https://www.qanu.ai/en/templates/memorandum-of-association" TargetMode="External"/><Relationship Id="rIdki0rqsydhriuu8ivax-1m" Type="http://schemas.openxmlformats.org/officeDocument/2006/relationships/hyperlink" Target="https://www.qanu.ai/en/templates/articles-of-association" TargetMode="External"/><Relationship Id="rIdmxvm166iirkkubclj-jod" Type="http://schemas.openxmlformats.org/officeDocument/2006/relationships/hyperlink" Target="https://www.qanu.ai/en/templates/share-transfer-agreement" TargetMode="External"/><Relationship Id="rIdqyalppt3l1alhvngsyhjf" Type="http://schemas.openxmlformats.org/officeDocument/2006/relationships/hyperlink" Target="https://www.qanu.ai/en/templates/partnership-agreement" TargetMode="External"/><Relationship Id="rId08hcm4otxfw9drpca78qm" Type="http://schemas.openxmlformats.org/officeDocument/2006/relationships/hyperlink" Target="https://www.qanu.ai/en/templates/cooperation-agreement" TargetMode="External"/><Relationship Id="rIdoqoafbuma6sftyumv56xv" Type="http://schemas.openxmlformats.org/officeDocument/2006/relationships/hyperlink" Target="https://creativecommons.org/licenses/by/4.0/deed.en" TargetMode="External"/><Relationship Id="rIdm1ra35w95yzh4cssa9z87" Type="http://schemas.openxmlformats.org/officeDocument/2006/relationships/hyperlink" Target="https://laws.boe.gov.sa/BoeLaws/Laws/LawDetails/a8376aea-1bc3-49d4-9027-aed900b555af/1" TargetMode="External"/><Relationship Id="rIdske57pifmr05fyv5wlxg-" Type="http://schemas.openxmlformats.org/officeDocument/2006/relationships/hyperlink" Target="https://u.ae/en/information-and-services/business/Doing-business/doing-business-on-the-mainland/full-foreign-ownership-of-commercial-companies" TargetMode="External"/><Relationship Id="rIdb9vmxbh-jvr128kyehoew" Type="http://schemas.openxmlformats.org/officeDocument/2006/relationships/hyperlink" Target="https://laws.moj.gov.sa/ar/legislation/PBbHmywh1XMp-Kyv3NtQLg" TargetMode="External"/><Relationship Id="rIdb5lsmhoyzpavxzaaskq5d" Type="http://schemas.openxmlformats.org/officeDocument/2006/relationships/hyperlink" Target="https://uaelegislation.gov.ae/en/legislations/4011" TargetMode="External"/><Relationship Id="rIdm_vmkgupr1fq3denqbsna" Type="http://schemas.openxmlformats.org/officeDocument/2006/relationships/hyperlink" Target="https://laws.boe.gov.sa/BoeLaws/Laws/LawDetails/655fdb42-8c96-422b-b8c4-b04f0095c94c/1" TargetMode="External"/><Relationship Id="rIdgxrw5crdqp88v2wd2j69t" Type="http://schemas.openxmlformats.org/officeDocument/2006/relationships/hyperlink" Target="https://u.ae/en/information-and-services/justice-safety-and-the-law/Law/how-are-uae-laws-issued-and-how-to-find-them/where-to-find-uae-federal-laws"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Investment agreement (Word &amp; PDF)</dc:title>
  <dc:creator>Qanu</dc:creator>
  <cp:keywords>Investment agreement, عقد استثمار, Commercial register,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dc:description>
  <cp:lastModifiedBy>Qanu</cp:lastModifiedBy>
  <cp:revision>1</cp:revision>
  <dcterms:created xsi:type="dcterms:W3CDTF">2026-10-29T11:28:02.675Z</dcterms:created>
  <dcterms:modified xsi:type="dcterms:W3CDTF">2026-10-29T11:28:02.675Z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https://www.qanu.ai/en/templates/investment-agreement</vt:lpwstr>
  </property>
</Properties>
</file>