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في الإمارات يمرّ الإنذار بالكاتب العدل. وفي السعودية الإعذار أو الإخطار، لا «إنذار عدلي».</w:t>
      </w:r>
      <w:r>
        <w:rPr>
          <w:rtl/>
        </w:rPr>
        <w:t xml:space="preserve"> تعريف «المحرر» في المرسوم بقانون اتحادي رقم (20) لسنة 2022 بشأن تنظيم مهنة الكاتب العدل يشمل كل مستند أو عقد أو إخطار أو إنذار يحرره أو يوثقه الكاتب العدل أو يُبلَّغ لذوي الشأن.</w:t>
      </w:r>
      <w:r>
        <w:rPr>
          <w:rtl/>
        </w:rPr>
        <w:t xml:space="preserve"> [1]</w:t>
      </w:r>
      <w:r>
        <w:rPr>
          <w:rtl/>
        </w:rPr>
        <w:t xml:space="preserve"> وفي المسائل التجارية ينص مرسوم بقانون اتحادي رقم (50) لسنة 2022 على التبليغ عبر الكاتب العدل أو البريد المسجل أو الوسائل الإلكترونية، ولا تورد هذه الصفحة رقم المادة.</w:t>
      </w:r>
      <w:r>
        <w:rPr>
          <w:rtl/>
        </w:rPr>
        <w:t xml:space="preserve"> [2]</w:t>
      </w:r>
      <w:r>
        <w:rPr>
          <w:rtl/>
        </w:rPr>
        <w:t xml:space="preserve"> وفي المملكة يكون الإعذار بأي وسيلة متفق عليها أو مقررة نظاماً للتبليغ، بما في ذلك رفع الدعوى.</w:t>
      </w:r>
      <w:r>
        <w:rPr>
          <w:rtl/>
        </w:rPr>
        <w:t xml:space="preserve"> [3]</w:t>
      </w:r>
      <w:r>
        <w:rPr>
          <w:rtl/>
        </w:rPr>
        <w:t xml:space="preserve"> وقانون المعاملات المدنية النافذ في الإمارات هو المرسوم بقانون اتحادي رقم (25) لسنة 2025، ويُعمل به من 1 يونيو 2026، ويُلغي القانون الاتحادي رقم (5) لسنة 1985 بالمادة (2) من مرسوم الإصدار. ولا تورد هذه الصفحة مادة إعذار من القانون الجديد.</w:t>
      </w:r>
      <w:r>
        <w:rPr>
          <w:rtl/>
        </w:rPr>
        <w:t xml:space="preserve"> [4]</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مهنة الكاتب العدل: </w:t>
      </w:r>
      <w:hyperlink w:history="1" r:id="rId2gyqfitp1w_hzbu9_cdd-">
        <w:r>
          <w:rPr>
            <w:rStyle w:val="Hyperlink"/>
            <w:sz w:val="17"/>
            <w:szCs w:val="17"/>
          </w:rPr>
          <w:t xml:space="preserve">‪https://uaelegislation.gov.ae/en/legislations/1563‬</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المعاملات المدنية: </w:t>
      </w:r>
      <w:hyperlink w:history="1" r:id="rIds7udetzcuj3v9rhkt9d_8">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الإلكتروني: </w:t>
      </w:r>
      <w:hyperlink w:history="1" r:id="rIdsf62oweb3yus6goj7l5ri">
        <w:r>
          <w:rPr>
            <w:rStyle w:val="Hyperlink"/>
            <w:sz w:val="17"/>
            <w:szCs w:val="17"/>
          </w:rPr>
          <w:t xml:space="preserve">‪https://www.moj.gov.ae/en/services/esystems/e-notary.aspx‬</w:t>
        </w:r>
      </w:hyperlink>
    </w:p>
    <w:p>
      <w:pPr>
        <w:bidi/>
        <w:spacing w:after="240"/>
      </w:pPr>
    </w:p>
    <w:p>
      <w:pPr>
        <w:pStyle w:val="Title"/>
        <w:bidi/>
      </w:pPr>
      <w:r>
        <w:rPr>
          <w:rtl/>
        </w:rPr>
        <w:t xml:space="preserve">إنذار عدلي</w:t>
      </w:r>
    </w:p>
    <w:p>
      <w:pPr>
        <w:bidi/>
        <w:spacing w:after="240"/>
      </w:pPr>
      <w:r>
        <w:rPr>
          <w:color w:val="444444"/>
          <w:rtl/>
        </w:rPr>
        <w:t xml:space="preserve">مسودة إنذار للمطالبة بمبلغ، أو للإخلاء أو عدم التجديد، أو للإعذار قبل الفسخ، أو للإخطار بإنهاء عقد، في دول الخليج. في السعودية لا يُسمّى الإجراء إنذاراً عدلياً، والمصطلح النظامي إعذار أو إخطار.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 هذه نقطة انطلاق، وتُراجع من محامٍ مرخّص في الدولة المعنية قبل الاستعمال.</w:t>
      </w:r>
    </w:p>
    <w:p>
      <w:pPr>
        <w:pStyle w:val="Heading1"/>
        <w:bidi/>
      </w:pPr>
      <w:commentRangeStart w:id="0"/>
      <w:r>
        <w:rPr>
          <w:rtl/>
        </w:rPr>
        <w:t xml:space="preserve">البند (1): بيانات المنذِر والمنذَر إليه</w:t>
      </w:r>
      <w:commentRangeEnd w:id="0"/>
      <w:r>
        <w:rPr>
          <w:rtl/>
        </w:rPr>
        <w:commentReference w:id="0"/>
      </w:r>
    </w:p>
    <w:p>
      <w:pPr>
        <w:bidi/>
      </w:pPr>
      <w:r>
        <w:rPr>
          <w:rtl/>
        </w:rPr>
        <w:t xml:space="preserve">أنا </w:t>
      </w:r>
      <w:r>
        <w:rPr>
          <w:highlight w:val="yellow"/>
          <w:rtl/>
        </w:rPr>
        <w:t xml:space="preserve">[</w:t>
      </w:r>
      <w:r>
        <w:rPr>
          <w:highlight w:val="yellow"/>
          <w:rtl/>
        </w:rPr>
        <w:t xml:space="preserve">الاسم</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وعنواني </w:t>
      </w:r>
      <w:r>
        <w:rPr>
          <w:highlight w:val="yellow"/>
          <w:rtl/>
        </w:rPr>
        <w:t xml:space="preserve">[</w:t>
      </w:r>
      <w:r>
        <w:rPr>
          <w:highlight w:val="yellow"/>
          <w:rtl/>
        </w:rPr>
        <w:t xml:space="preserve">الوطني أو المختار</w:t>
      </w:r>
      <w:r>
        <w:rPr>
          <w:highlight w:val="yellow"/>
          <w:rtl/>
        </w:rPr>
        <w:t xml:space="preserve">]</w:t>
      </w:r>
      <w:r>
        <w:rPr>
          <w:rtl/>
        </w:rPr>
        <w:t xml:space="preserve"> («المنذِر»)، أُنذر </w:t>
      </w:r>
      <w:r>
        <w:rPr>
          <w:highlight w:val="yellow"/>
          <w:rtl/>
        </w:rPr>
        <w:t xml:space="preserve">[</w:t>
      </w:r>
      <w:r>
        <w:rPr>
          <w:highlight w:val="yellow"/>
          <w:rtl/>
        </w:rPr>
        <w:t xml:space="preserve">الاسم</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الوطني أو المختار</w:t>
      </w:r>
      <w:r>
        <w:rPr>
          <w:highlight w:val="yellow"/>
          <w:rtl/>
        </w:rPr>
        <w:t xml:space="preserve">]</w:t>
      </w:r>
      <w:r>
        <w:rPr>
          <w:rtl/>
        </w:rPr>
        <w:t xml:space="preserve"> («المنذَر إليه»).</w:t>
      </w:r>
    </w:p>
    <w:p>
      <w:pPr>
        <w:pStyle w:val="Heading1"/>
        <w:bidi/>
      </w:pPr>
      <w:commentRangeStart w:id="1"/>
      <w:r>
        <w:rPr>
          <w:rtl/>
        </w:rPr>
        <w:t xml:space="preserve">البند (2): الصفة وسند الحق</w:t>
      </w:r>
      <w:commentRangeEnd w:id="1"/>
      <w:r>
        <w:rPr>
          <w:rtl/>
        </w:rPr>
        <w:commentReference w:id="1"/>
      </w:r>
    </w:p>
    <w:p>
      <w:pPr>
        <w:bidi/>
      </w:pPr>
      <w:r>
        <w:rPr>
          <w:rtl/>
        </w:rPr>
        <w:t xml:space="preserve">أتقدم بهذه الصفة: </w:t>
      </w:r>
      <w:r>
        <w:rPr>
          <w:highlight w:val="yellow"/>
          <w:rtl/>
        </w:rPr>
        <w:t xml:space="preserve">[</w:t>
      </w:r>
      <w:r>
        <w:rPr>
          <w:highlight w:val="yellow"/>
          <w:rtl/>
        </w:rPr>
        <w:t xml:space="preserve">أصالة / وكالة رقم ● / مدير ●</w:t>
      </w:r>
      <w:r>
        <w:rPr>
          <w:highlight w:val="yellow"/>
          <w:rtl/>
        </w:rPr>
        <w:t xml:space="preserve">]</w:t>
      </w:r>
      <w:r>
        <w:rPr>
          <w:rtl/>
        </w:rPr>
        <w:t xml:space="preserve">. وسند الحق: </w:t>
      </w:r>
      <w:r>
        <w:rPr>
          <w:highlight w:val="yellow"/>
          <w:rtl/>
        </w:rPr>
        <w:t xml:space="preserve">[</w:t>
      </w:r>
      <w:r>
        <w:rPr>
          <w:highlight w:val="yellow"/>
          <w:rtl/>
        </w:rPr>
        <w:t xml:space="preserve">عقد مؤرخ ● / فاتورة رقم ● / سند لأمر / حكم</w:t>
      </w:r>
      <w:r>
        <w:rPr>
          <w:highlight w:val="yellow"/>
          <w:rtl/>
        </w:rPr>
        <w:t xml:space="preserve">]</w:t>
      </w:r>
      <w:r>
        <w:rPr>
          <w:rtl/>
        </w:rPr>
        <w:t xml:space="preserve">.</w:t>
      </w:r>
    </w:p>
    <w:p>
      <w:pPr>
        <w:pStyle w:val="Heading1"/>
        <w:bidi/>
      </w:pPr>
      <w:commentRangeStart w:id="2"/>
      <w:r>
        <w:rPr>
          <w:rtl/>
        </w:rPr>
        <w:t xml:space="preserve">البند (3): الوقائع</w:t>
      </w:r>
      <w:commentRangeEnd w:id="2"/>
      <w:r>
        <w:rPr>
          <w:rtl/>
        </w:rPr>
        <w:commentReference w:id="2"/>
      </w:r>
    </w:p>
    <w:p>
      <w:pPr>
        <w:bidi/>
        <w:ind w:start="360" w:hanging="0"/>
      </w:pPr>
      <w:r>
        <w:rPr>
          <w:rtl/>
        </w:rPr>
        <w:t xml:space="preserve">(1) في </w:t>
      </w:r>
      <w:r>
        <w:rPr>
          <w:highlight w:val="yellow"/>
          <w:rtl/>
        </w:rPr>
        <w:t xml:space="preserve">[</w:t>
      </w:r>
      <w:r>
        <w:rPr>
          <w:highlight w:val="yellow"/>
          <w:rtl/>
        </w:rPr>
        <w:t xml:space="preserve">التاريخ</w:t>
      </w:r>
      <w:r>
        <w:rPr>
          <w:highlight w:val="yellow"/>
          <w:rtl/>
        </w:rPr>
        <w:t xml:space="preserve">]</w:t>
      </w:r>
      <w:r>
        <w:rPr>
          <w:rtl/>
        </w:rPr>
        <w:t xml:space="preserve">: </w:t>
      </w:r>
      <w:r>
        <w:rPr>
          <w:highlight w:val="yellow"/>
          <w:rtl/>
        </w:rPr>
        <w:t xml:space="preserve">[</w:t>
      </w:r>
      <w:r>
        <w:rPr>
          <w:highlight w:val="yellow"/>
          <w:rtl/>
        </w:rPr>
        <w:t xml:space="preserve">الواقعة</w:t>
      </w:r>
      <w:r>
        <w:rPr>
          <w:highlight w:val="yellow"/>
          <w:rtl/>
        </w:rPr>
        <w:t xml:space="preserve">]</w:t>
      </w:r>
      <w:r>
        <w:rPr>
          <w:rtl/>
        </w:rPr>
        <w:t xml:space="preserve">.</w:t>
      </w:r>
    </w:p>
    <w:p>
      <w:pPr>
        <w:bidi/>
        <w:ind w:start="360" w:hanging="0"/>
      </w:pPr>
      <w:r>
        <w:rPr>
          <w:rtl/>
        </w:rPr>
        <w:t xml:space="preserve">(2) في </w:t>
      </w:r>
      <w:r>
        <w:rPr>
          <w:highlight w:val="yellow"/>
          <w:rtl/>
        </w:rPr>
        <w:t xml:space="preserve">[</w:t>
      </w:r>
      <w:r>
        <w:rPr>
          <w:highlight w:val="yellow"/>
          <w:rtl/>
        </w:rPr>
        <w:t xml:space="preserve">التاريخ</w:t>
      </w:r>
      <w:r>
        <w:rPr>
          <w:highlight w:val="yellow"/>
          <w:rtl/>
        </w:rPr>
        <w:t xml:space="preserve">]</w:t>
      </w:r>
      <w:r>
        <w:rPr>
          <w:rtl/>
        </w:rPr>
        <w:t xml:space="preserve">: </w:t>
      </w:r>
      <w:r>
        <w:rPr>
          <w:highlight w:val="yellow"/>
          <w:rtl/>
        </w:rPr>
        <w:t xml:space="preserve">[</w:t>
      </w:r>
      <w:r>
        <w:rPr>
          <w:highlight w:val="yellow"/>
          <w:rtl/>
        </w:rPr>
        <w:t xml:space="preserve">ما طُولب به وما نُفّذ منه</w:t>
      </w:r>
      <w:r>
        <w:rPr>
          <w:highlight w:val="yellow"/>
          <w:rtl/>
        </w:rPr>
        <w:t xml:space="preserve">]</w:t>
      </w:r>
      <w:r>
        <w:rPr>
          <w:rtl/>
        </w:rPr>
        <w:t xml:space="preserve">.</w:t>
      </w:r>
    </w:p>
    <w:p>
      <w:pPr>
        <w:bidi/>
        <w:ind w:start="360" w:hanging="0"/>
      </w:pPr>
      <w:r>
        <w:rPr>
          <w:rtl/>
        </w:rPr>
        <w:t xml:space="preserve">(3) المتبقي حتى تاريخ هذا الإنذار: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3"/>
      <w:r>
        <w:rPr>
          <w:rtl/>
        </w:rPr>
        <w:t xml:space="preserve">البند (4): موضوع الإنذار</w:t>
      </w:r>
      <w:commentRangeEnd w:id="3"/>
      <w:r>
        <w:rPr>
          <w:rtl/>
        </w:rPr>
        <w:commentReference w:id="3"/>
      </w:r>
    </w:p>
    <w:p>
      <w:pPr>
        <w:bidi/>
        <w:ind w:start="360" w:hanging="0"/>
      </w:pPr>
      <w:r>
        <w:rPr>
          <w:rtl/>
        </w:rPr>
        <w:t xml:space="preserve">(أ) مطالبة مالية: أطالب بمبلغ </w:t>
      </w:r>
      <w:r>
        <w:rPr>
          <w:highlight w:val="yellow"/>
          <w:rtl/>
        </w:rPr>
        <w:t xml:space="preserve">[</w:t>
      </w:r>
      <w:r>
        <w:rPr>
          <w:highlight w:val="yellow"/>
          <w:rtl/>
        </w:rPr>
        <w:t xml:space="preserve">المبلغ والعملة</w:t>
      </w:r>
      <w:r>
        <w:rPr>
          <w:highlight w:val="yellow"/>
          <w:rtl/>
        </w:rPr>
        <w:t xml:space="preserve">]</w:t>
      </w:r>
      <w:r>
        <w:rPr>
          <w:rtl/>
        </w:rPr>
        <w:t xml:space="preserve"> عن </w:t>
      </w:r>
      <w:r>
        <w:rPr>
          <w:highlight w:val="yellow"/>
          <w:rtl/>
        </w:rPr>
        <w:t xml:space="preserve">[</w:t>
      </w:r>
      <w:r>
        <w:rPr>
          <w:highlight w:val="yellow"/>
          <w:rtl/>
        </w:rPr>
        <w:t xml:space="preserve">سببه</w:t>
      </w:r>
      <w:r>
        <w:rPr>
          <w:highlight w:val="yellow"/>
          <w:rtl/>
        </w:rPr>
        <w:t xml:space="preserve">]</w:t>
      </w:r>
      <w:r>
        <w:rPr>
          <w:rtl/>
        </w:rPr>
        <w:t xml:space="preserve">. احذفوا هذا الخيار إن لم يكن الطلب مبلغاً.</w:t>
      </w:r>
    </w:p>
    <w:p>
      <w:pPr>
        <w:bidi/>
        <w:ind w:start="360" w:hanging="0"/>
      </w:pPr>
      <w:r>
        <w:rPr>
          <w:rtl/>
        </w:rPr>
        <w:t xml:space="preserve">(ب) إخلاء أو عدم تجديد: أطالب بإخلاء </w:t>
      </w:r>
      <w:r>
        <w:rPr>
          <w:highlight w:val="yellow"/>
          <w:rtl/>
        </w:rPr>
        <w:t xml:space="preserve">[</w:t>
      </w:r>
      <w:r>
        <w:rPr>
          <w:highlight w:val="yellow"/>
          <w:rtl/>
        </w:rPr>
        <w:t xml:space="preserve">العين</w:t>
      </w:r>
      <w:r>
        <w:rPr>
          <w:highlight w:val="yellow"/>
          <w:rtl/>
        </w:rPr>
        <w:t xml:space="preserve">]</w:t>
      </w:r>
      <w:r>
        <w:rPr>
          <w:rtl/>
        </w:rPr>
        <w:t xml:space="preserve"> / بعدم تجديد </w:t>
      </w:r>
      <w:hyperlink w:history="1" r:id="rIdv2lfzpxo2zp9i-hwvnjf8">
        <w:r>
          <w:rPr>
            <w:rStyle w:val="Hyperlink"/>
            <w:rtl/>
          </w:rPr>
          <w:t xml:space="preserve">عقد الإيجار</w:t>
        </w:r>
      </w:hyperlink>
      <w:r>
        <w:rPr>
          <w:rtl/>
        </w:rPr>
        <w:t xml:space="preserve"> الذي ينتهي في </w:t>
      </w:r>
      <w:r>
        <w:rPr>
          <w:highlight w:val="yellow"/>
          <w:rtl/>
        </w:rPr>
        <w:t xml:space="preserve">[</w:t>
      </w:r>
      <w:r>
        <w:rPr>
          <w:highlight w:val="yellow"/>
          <w:rtl/>
        </w:rPr>
        <w:t xml:space="preserve">التاريخ</w:t>
      </w:r>
      <w:r>
        <w:rPr>
          <w:highlight w:val="yellow"/>
          <w:rtl/>
        </w:rPr>
        <w:t xml:space="preserve">]</w:t>
      </w:r>
      <w:r>
        <w:rPr>
          <w:rtl/>
        </w:rPr>
        <w:t xml:space="preserve">. احذفوا هذا الخيار إن لم يكن المحل إيجاراً.</w:t>
      </w:r>
    </w:p>
    <w:p>
      <w:pPr>
        <w:bidi/>
        <w:ind w:start="360" w:hanging="0"/>
      </w:pPr>
      <w:r>
        <w:rPr>
          <w:rtl/>
        </w:rPr>
        <w:t xml:space="preserve">(ج) إعذار قبل الفسخ: أُعذر المنذَر إليه بتنفيذ </w:t>
      </w:r>
      <w:r>
        <w:rPr>
          <w:highlight w:val="yellow"/>
          <w:rtl/>
        </w:rPr>
        <w:t xml:space="preserve">[</w:t>
      </w:r>
      <w:r>
        <w:rPr>
          <w:highlight w:val="yellow"/>
          <w:rtl/>
        </w:rPr>
        <w:t xml:space="preserve">الالتزام</w:t>
      </w:r>
      <w:r>
        <w:rPr>
          <w:highlight w:val="yellow"/>
          <w:rtl/>
        </w:rPr>
        <w:t xml:space="preserve">]</w:t>
      </w:r>
      <w:r>
        <w:rPr>
          <w:rtl/>
        </w:rPr>
        <w:t xml:space="preserve"> قبل فسخ </w:t>
      </w:r>
      <w:r>
        <w:rPr>
          <w:highlight w:val="yellow"/>
          <w:rtl/>
        </w:rPr>
        <w:t xml:space="preserve">[</w:t>
      </w:r>
      <w:r>
        <w:rPr>
          <w:highlight w:val="yellow"/>
          <w:rtl/>
        </w:rPr>
        <w:t xml:space="preserve">العقد</w:t>
      </w:r>
      <w:r>
        <w:rPr>
          <w:highlight w:val="yellow"/>
          <w:rtl/>
        </w:rPr>
        <w:t xml:space="preserve">]</w:t>
      </w:r>
      <w:r>
        <w:rPr>
          <w:rtl/>
        </w:rPr>
        <w:t xml:space="preserve">. احذفوا هذا الخيار إن لم تقصدوا الفسخ.</w:t>
      </w:r>
    </w:p>
    <w:p>
      <w:pPr>
        <w:bidi/>
        <w:ind w:start="360" w:hanging="0"/>
      </w:pPr>
      <w:r>
        <w:rPr>
          <w:rtl/>
        </w:rPr>
        <w:t xml:space="preserve">(د) إخطار بالإنهاء: أخطر بإنهاء </w:t>
      </w:r>
      <w:r>
        <w:rPr>
          <w:highlight w:val="yellow"/>
          <w:rtl/>
        </w:rPr>
        <w:t xml:space="preserve">[</w:t>
      </w:r>
      <w:r>
        <w:rPr>
          <w:highlight w:val="yellow"/>
          <w:rtl/>
        </w:rPr>
        <w:t xml:space="preserve">العقد</w:t>
      </w:r>
      <w:r>
        <w:rPr>
          <w:highlight w:val="yellow"/>
          <w:rtl/>
        </w:rPr>
        <w:t xml:space="preserve">]</w:t>
      </w:r>
      <w:r>
        <w:rPr>
          <w:rtl/>
        </w:rPr>
        <w:t xml:space="preserve"> اعتباراً من </w:t>
      </w:r>
      <w:r>
        <w:rPr>
          <w:highlight w:val="yellow"/>
          <w:rtl/>
        </w:rPr>
        <w:t xml:space="preserve">[</w:t>
      </w:r>
      <w:r>
        <w:rPr>
          <w:highlight w:val="yellow"/>
          <w:rtl/>
        </w:rPr>
        <w:t xml:space="preserve">التاريخ</w:t>
      </w:r>
      <w:r>
        <w:rPr>
          <w:highlight w:val="yellow"/>
          <w:rtl/>
        </w:rPr>
        <w:t xml:space="preserve">]</w:t>
      </w:r>
      <w:r>
        <w:rPr>
          <w:rtl/>
        </w:rPr>
        <w:t xml:space="preserve"> للسبب </w:t>
      </w:r>
      <w:r>
        <w:rPr>
          <w:highlight w:val="yellow"/>
          <w:rtl/>
        </w:rPr>
        <w:t xml:space="preserve">[</w:t>
      </w:r>
      <w:r>
        <w:rPr>
          <w:highlight w:val="yellow"/>
          <w:rtl/>
        </w:rPr>
        <w:t xml:space="preserve">●</w:t>
      </w:r>
      <w:r>
        <w:rPr>
          <w:highlight w:val="yellow"/>
          <w:rtl/>
        </w:rPr>
        <w:t xml:space="preserve">]</w:t>
      </w:r>
      <w:r>
        <w:rPr>
          <w:rtl/>
        </w:rPr>
        <w:t xml:space="preserve">. احذفوا هذا الخيار إن لم تنهوا عقداً.</w:t>
      </w:r>
    </w:p>
    <w:p>
      <w:pPr>
        <w:pStyle w:val="Heading1"/>
        <w:bidi/>
      </w:pPr>
      <w:commentRangeStart w:id="4"/>
      <w:r>
        <w:rPr>
          <w:rtl/>
        </w:rPr>
        <w:t xml:space="preserve">البند (5): المهلة وطريقة التنفيذ</w:t>
      </w:r>
      <w:commentRangeEnd w:id="4"/>
      <w:r>
        <w:rPr>
          <w:rtl/>
        </w:rPr>
        <w:commentReference w:id="4"/>
      </w:r>
    </w:p>
    <w:p>
      <w:pPr>
        <w:bidi/>
      </w:pPr>
      <w:r>
        <w:rPr>
          <w:rtl/>
        </w:rPr>
        <w:t xml:space="preserve">أمنح مهلة تنتهي في </w:t>
      </w:r>
      <w:r>
        <w:rPr>
          <w:highlight w:val="yellow"/>
          <w:rtl/>
        </w:rPr>
        <w:t xml:space="preserve">[</w:t>
      </w:r>
      <w:r>
        <w:rPr>
          <w:highlight w:val="yellow"/>
          <w:rtl/>
        </w:rPr>
        <w:t xml:space="preserve">التاريخ</w:t>
      </w:r>
      <w:r>
        <w:rPr>
          <w:highlight w:val="yellow"/>
          <w:rtl/>
        </w:rPr>
        <w:t xml:space="preserve">]</w:t>
      </w:r>
      <w:r>
        <w:rPr>
          <w:rtl/>
        </w:rPr>
        <w:t xml:space="preserve">، والتنفيذ يكون بـ</w:t>
      </w:r>
      <w:r>
        <w:rPr>
          <w:highlight w:val="yellow"/>
          <w:rtl/>
        </w:rPr>
        <w:t xml:space="preserve">[</w:t>
      </w:r>
      <w:r>
        <w:rPr>
          <w:highlight w:val="yellow"/>
          <w:rtl/>
        </w:rPr>
        <w:t xml:space="preserve">تحويل إلى الحساب ● / التسليم في ● / الإخلاء</w:t>
      </w:r>
      <w:r>
        <w:rPr>
          <w:highlight w:val="yellow"/>
          <w:rtl/>
        </w:rPr>
        <w:t xml:space="preserve">]</w:t>
      </w:r>
      <w:r>
        <w:rPr>
          <w:rtl/>
        </w:rPr>
        <w:t xml:space="preserve">.</w:t>
      </w:r>
    </w:p>
    <w:p>
      <w:pPr>
        <w:pStyle w:val="Heading1"/>
        <w:bidi/>
      </w:pPr>
      <w:commentRangeStart w:id="5"/>
      <w:r>
        <w:rPr>
          <w:rtl/>
        </w:rPr>
        <w:t xml:space="preserve">البند (6): الأثر عند عدم الاستجابة</w:t>
      </w:r>
      <w:commentRangeEnd w:id="5"/>
      <w:r>
        <w:rPr>
          <w:rtl/>
        </w:rPr>
        <w:commentReference w:id="5"/>
      </w:r>
    </w:p>
    <w:p>
      <w:pPr>
        <w:bidi/>
      </w:pPr>
      <w:r>
        <w:rPr>
          <w:rtl/>
        </w:rPr>
        <w:t xml:space="preserve">إذا انقضت المهلة من غير تنفيذ، فسأتخذ الإجراءات النظامية، ومنها المطالبة بالتعويض والمصاريف إن كان لها وجه. وموضع الدعوى </w:t>
      </w:r>
      <w:hyperlink w:history="1" r:id="rIduapvuhnchmxgtfhidjcch">
        <w:r>
          <w:rPr>
            <w:rStyle w:val="Hyperlink"/>
            <w:rtl/>
          </w:rPr>
          <w:t xml:space="preserve">صحيفة الدعوى</w:t>
        </w:r>
      </w:hyperlink>
      <w:r>
        <w:rPr>
          <w:rtl/>
        </w:rPr>
        <w:t xml:space="preserve">.</w:t>
      </w:r>
    </w:p>
    <w:p>
      <w:pPr>
        <w:pStyle w:val="Heading1"/>
        <w:bidi/>
      </w:pPr>
      <w:r>
        <w:rPr>
          <w:rtl/>
        </w:rPr>
        <w:t xml:space="preserve">البند (7): حفظ الحقوق</w:t>
      </w:r>
    </w:p>
    <w:p>
      <w:pPr>
        <w:bidi/>
      </w:pPr>
      <w:r>
        <w:rPr>
          <w:rtl/>
        </w:rPr>
        <w:t xml:space="preserve">هذا الإنذار لا يُسقط حقاً، ولا يُعدّ تنازلاً عن ميعاد أو عن شرط أو عن مطالبة لم تُذكر فيه.</w:t>
      </w:r>
    </w:p>
    <w:p>
      <w:pPr>
        <w:pStyle w:val="Heading1"/>
        <w:bidi/>
      </w:pPr>
      <w:commentRangeStart w:id="6"/>
      <w:r>
        <w:rPr>
          <w:rtl/>
        </w:rPr>
        <w:t xml:space="preserve">البند (8): طريقة التبليغ</w:t>
      </w:r>
      <w:commentRangeEnd w:id="6"/>
      <w:r>
        <w:rPr>
          <w:rtl/>
        </w:rPr>
        <w:commentReference w:id="6"/>
      </w:r>
    </w:p>
    <w:p>
      <w:pPr>
        <w:bidi/>
        <w:ind w:start="360" w:hanging="0"/>
      </w:pPr>
      <w:r>
        <w:rPr>
          <w:rtl/>
        </w:rPr>
        <w:t xml:space="preserve">(أ) الإمارات: عبر الكاتب العدل.</w:t>
      </w:r>
    </w:p>
    <w:p>
      <w:pPr>
        <w:bidi/>
        <w:ind w:start="360" w:hanging="0"/>
      </w:pPr>
      <w:r>
        <w:rPr>
          <w:rtl/>
        </w:rPr>
        <w:t xml:space="preserve">(ب) البحرين: بإنذار، أو بكتاب مسجل مع علم الوصول، أو بورقة رسمية تقوم مقام الإنذار، أو بوسيلة متفق عليها.</w:t>
      </w:r>
    </w:p>
    <w:p>
      <w:pPr>
        <w:bidi/>
        <w:ind w:start="360" w:hanging="0"/>
      </w:pPr>
      <w:r>
        <w:rPr>
          <w:rtl/>
        </w:rPr>
        <w:t xml:space="preserve">(ج) السعودية: بالوسيلة المتفق عليها، أو بوسيلة التبليغ المقررة نظاماً، ويدخل في ذلك رفع الدعوى.</w:t>
      </w:r>
    </w:p>
    <w:p>
      <w:pPr>
        <w:bidi/>
        <w:ind w:start="360" w:hanging="0"/>
      </w:pPr>
      <w:r>
        <w:rPr>
          <w:rtl/>
        </w:rPr>
        <w:t xml:space="preserve">(د) وسيلة متفق عليها في العقد: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(9): التوقيع والمرفقات</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المنذِر: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المرفقات:</w:t>
      </w:r>
      <w:r>
        <w:rPr>
          <w:rtl/>
        </w:rPr>
        <w:t xml:space="preserve"> كما في الملحق (1).</w:t>
      </w:r>
    </w:p>
    <w:p>
      <w:pPr>
        <w:pStyle w:val="Heading1"/>
        <w:pageBreakBefore/>
        <w:bidi/>
      </w:pPr>
      <w:r>
        <w:rPr>
          <w:rtl/>
        </w:rPr>
        <w:t xml:space="preserve">ملاحظات عن المملكة العربية السعودية</w:t>
      </w:r>
    </w:p>
    <w:p>
      <w:pPr>
        <w:bidi/>
      </w:pPr>
      <w:r>
        <w:rPr>
          <w:rtl/>
        </w:rPr>
        <w:t xml:space="preserve">المصطلح هنا إعذار وإخطار. ولا يُسمّي نظام المعاملات المدنية الإجراء إنذاراً عدلياً.</w:t>
      </w:r>
      <w:r>
        <w:rPr>
          <w:rtl/>
        </w:rPr>
        <w:t xml:space="preserve"> [3][5]</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الإعذار</w:t>
            </w:r>
          </w:p>
        </w:tc>
        <w:tc>
          <w:tcPr>
            <w:tcMar>
              <w:top w:type="dxa" w:w="80"/>
              <w:left w:type="dxa" w:w="100"/>
              <w:bottom w:type="dxa" w:w="80"/>
              <w:right w:type="dxa" w:w="100"/>
            </w:tcMar>
          </w:tcPr>
          <w:p>
            <w:pPr>
              <w:bidi/>
              <w:spacing w:after="0"/>
            </w:pPr>
            <w:r>
              <w:rPr>
                <w:b w:val="false"/>
                <w:sz w:val="18"/>
                <w:szCs w:val="18"/>
                <w:rtl/>
              </w:rPr>
              <w:t xml:space="preserve">يكون بأي وسيلة متفق عليها أو مقررة نظاماً للتبليغ، بما في ذلك رفع الدعوى (المادة السابعة والسبعون بعد المائة).</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الفسخ</w:t>
            </w:r>
          </w:p>
        </w:tc>
        <w:tc>
          <w:tcPr>
            <w:tcMar>
              <w:top w:type="dxa" w:w="80"/>
              <w:left w:type="dxa" w:w="100"/>
              <w:bottom w:type="dxa" w:w="80"/>
              <w:right w:type="dxa" w:w="100"/>
            </w:tcMar>
          </w:tcPr>
          <w:p>
            <w:pPr>
              <w:bidi/>
              <w:spacing w:after="0"/>
            </w:pPr>
            <w:r>
              <w:rPr>
                <w:b w:val="false"/>
                <w:sz w:val="18"/>
                <w:szCs w:val="18"/>
                <w:rtl/>
              </w:rPr>
              <w:t xml:space="preserve">الفسخ لعدم التنفيذ يكون بعد إعذار المخل (المادة السابعة بعد المائة).</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الشرط الفاسخ</w:t>
            </w:r>
          </w:p>
        </w:tc>
        <w:tc>
          <w:tcPr>
            <w:tcMar>
              <w:top w:type="dxa" w:w="80"/>
              <w:left w:type="dxa" w:w="100"/>
              <w:bottom w:type="dxa" w:w="80"/>
              <w:right w:type="dxa" w:w="100"/>
            </w:tcMar>
          </w:tcPr>
          <w:p>
            <w:pPr>
              <w:bidi/>
              <w:spacing w:after="0"/>
            </w:pPr>
            <w:r>
              <w:rPr>
                <w:b w:val="false"/>
                <w:sz w:val="18"/>
                <w:szCs w:val="18"/>
                <w:rtl/>
              </w:rPr>
              <w:t xml:space="preserve">لا يعفي من الإعذار إلا باتفاق صريح (المادة الثامنة بعد المائة).</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الدعاوى التجارية</w:t>
            </w:r>
          </w:p>
        </w:tc>
        <w:tc>
          <w:tcPr>
            <w:tcMar>
              <w:top w:type="dxa" w:w="80"/>
              <w:left w:type="dxa" w:w="100"/>
              <w:bottom w:type="dxa" w:w="80"/>
              <w:right w:type="dxa" w:w="100"/>
            </w:tcMar>
          </w:tcPr>
          <w:p>
            <w:pPr>
              <w:bidi/>
              <w:spacing w:after="0"/>
            </w:pPr>
            <w:r>
              <w:rPr>
                <w:b w:val="false"/>
                <w:sz w:val="18"/>
                <w:szCs w:val="18"/>
                <w:rtl/>
              </w:rPr>
              <w:t xml:space="preserve">نظام المحاكم التجارية ينظّم الإخطار قبل بعض الدعاوى. ولا تورد هذه الصفحة رقم المادة.</w:t>
            </w:r>
            <w:r>
              <w:rPr>
                <w:b w:val="false"/>
                <w:sz w:val="18"/>
                <w:szCs w:val="18"/>
                <w:rtl/>
              </w:rPr>
              <w:t xml:space="preserve"> [5]</w:t>
            </w:r>
          </w:p>
        </w:tc>
      </w:tr>
    </w:tbl>
    <w:p>
      <w:pPr>
        <w:bidi/>
      </w:pPr>
    </w:p>
    <w:p>
      <w:pPr>
        <w:pStyle w:val="Heading1"/>
        <w:pageBreakBefore/>
        <w:bidi/>
      </w:pPr>
      <w:r>
        <w:rPr>
          <w:rtl/>
        </w:rPr>
        <w:t xml:space="preserve">ملاحظات عن الإمارات العربية المتحدة</w:t>
      </w:r>
    </w:p>
    <w:p>
      <w:pPr>
        <w:bidi/>
      </w:pPr>
      <w:r>
        <w:rPr>
          <w:rtl/>
        </w:rPr>
        <w:t xml:space="preserve">الإنذار العدلي يُحرَّر ويُوثَّق ويُبلَّغ عبر الكاتب العدل.</w:t>
      </w:r>
      <w:r>
        <w:rPr>
          <w:rtl/>
        </w:rPr>
        <w:t xml:space="preserve"> [1][2][4]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المحرر</w:t>
            </w:r>
          </w:p>
        </w:tc>
        <w:tc>
          <w:tcPr>
            <w:tcMar>
              <w:top w:type="dxa" w:w="80"/>
              <w:left w:type="dxa" w:w="100"/>
              <w:bottom w:type="dxa" w:w="80"/>
              <w:right w:type="dxa" w:w="100"/>
            </w:tcMar>
          </w:tcPr>
          <w:p>
            <w:pPr>
              <w:bidi/>
              <w:spacing w:after="0"/>
            </w:pPr>
            <w:r>
              <w:rPr>
                <w:b w:val="false"/>
                <w:sz w:val="18"/>
                <w:szCs w:val="18"/>
                <w:rtl/>
              </w:rPr>
              <w:t xml:space="preserve">يشمل التعريف كل إخطار أو إنذار يحرره الكاتب العدل أو يوثقه أو يُبلَّغ لذوي الشأن (المادة 1 من المرسوم بقانون رقم 20 لسنة 2022).</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المعاملات التجارية</w:t>
            </w:r>
          </w:p>
        </w:tc>
        <w:tc>
          <w:tcPr>
            <w:tcMar>
              <w:top w:type="dxa" w:w="80"/>
              <w:left w:type="dxa" w:w="100"/>
              <w:bottom w:type="dxa" w:w="80"/>
              <w:right w:type="dxa" w:w="100"/>
            </w:tcMar>
          </w:tcPr>
          <w:p>
            <w:pPr>
              <w:bidi/>
              <w:spacing w:after="0"/>
            </w:pPr>
            <w:r>
              <w:rPr>
                <w:b w:val="false"/>
                <w:sz w:val="18"/>
                <w:szCs w:val="18"/>
                <w:rtl/>
              </w:rPr>
              <w:t xml:space="preserve">التبليغ عبر الكاتب العدل أو البريد المسجل أو الوسائل الإلكترونية، بموجب المرسوم بقانون رقم (50) لسنة 2022. ولا يُذكر رقم المادة.</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القانون المدني</w:t>
            </w:r>
          </w:p>
        </w:tc>
        <w:tc>
          <w:tcPr>
            <w:tcMar>
              <w:top w:type="dxa" w:w="80"/>
              <w:left w:type="dxa" w:w="100"/>
              <w:bottom w:type="dxa" w:w="80"/>
              <w:right w:type="dxa" w:w="100"/>
            </w:tcMar>
          </w:tcPr>
          <w:p>
            <w:pPr>
              <w:bidi/>
              <w:spacing w:after="0"/>
            </w:pPr>
            <w:r>
              <w:rPr>
                <w:b w:val="false"/>
                <w:sz w:val="18"/>
                <w:szCs w:val="18"/>
                <w:rtl/>
              </w:rPr>
              <w:t xml:space="preserve">المرسوم بقانون رقم (25) لسنة 2025 نافذ من 1 يونيو 2026، ويُلغي القانون رقم (5) لسنة 1985 بالمادة (2) من مرسوم الإصدار. ولا تورد هذه الصفحة مادة إعذار منه.</w:t>
            </w:r>
            <w:r>
              <w:rPr>
                <w:b w:val="false"/>
                <w:sz w:val="18"/>
                <w:szCs w:val="18"/>
                <w:rtl/>
              </w:rPr>
              <w:t xml:space="preserve"> [4]</w:t>
            </w:r>
          </w:p>
        </w:tc>
      </w:tr>
    </w:tbl>
    <w:p>
      <w:pPr>
        <w:bidi/>
      </w:pPr>
    </w:p>
    <w:p>
      <w:pPr>
        <w:pStyle w:val="Heading1"/>
        <w:pageBreakBefore/>
        <w:bidi/>
      </w:pPr>
      <w:r>
        <w:rPr>
          <w:rtl/>
        </w:rPr>
        <w:t xml:space="preserve">ملاحظات عن مملكة البحرين</w:t>
      </w:r>
    </w:p>
    <w:p>
      <w:pPr>
        <w:bidi/>
      </w:pPr>
      <w:r>
        <w:rPr>
          <w:rtl/>
        </w:rPr>
        <w:t xml:space="preserve">الإعذار في القانون المدني الصادر بالمرسوم بقانون رقم (19) لسنة 2001.</w:t>
      </w:r>
      <w:r>
        <w:rPr>
          <w:rtl/>
        </w:rPr>
        <w:t xml:space="preserve"> [6]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الإعذار</w:t>
            </w:r>
          </w:p>
        </w:tc>
        <w:tc>
          <w:tcPr>
            <w:tcMar>
              <w:top w:type="dxa" w:w="80"/>
              <w:left w:type="dxa" w:w="100"/>
              <w:bottom w:type="dxa" w:w="80"/>
              <w:right w:type="dxa" w:w="100"/>
            </w:tcMar>
          </w:tcPr>
          <w:p>
            <w:pPr>
              <w:bidi/>
              <w:spacing w:after="0"/>
            </w:pPr>
            <w:r>
              <w:rPr>
                <w:b w:val="false"/>
                <w:sz w:val="18"/>
                <w:szCs w:val="18"/>
                <w:rtl/>
              </w:rPr>
              <w:t xml:space="preserve">يكون بإنذار المدين، أو بكتاب مسجل مع علم الوصول، أو بورقة رسمية تقوم مقام الإنذار، أو بأي وسيلة أخرى يتفق عليها الطرفان (المادة 221).</w:t>
            </w:r>
            <w:r>
              <w:rPr>
                <w:b w:val="false"/>
                <w:sz w:val="18"/>
                <w:szCs w:val="18"/>
                <w:rtl/>
              </w:rPr>
              <w:t xml:space="preserve"> [6]</w:t>
            </w:r>
          </w:p>
        </w:tc>
      </w:tr>
    </w:tbl>
    <w:p>
      <w:pPr>
        <w:bidi/>
      </w:pPr>
    </w:p>
    <w:p>
      <w:pPr>
        <w:pStyle w:val="Heading1"/>
        <w:bidi/>
      </w:pPr>
      <w:r>
        <w:rPr>
          <w:rtl/>
        </w:rPr>
        <w:t xml:space="preserve">قطر والكويت وعُمان</w:t>
      </w:r>
    </w:p>
    <w:p>
      <w:pPr>
        <w:pStyle w:val="ListParagraph"/>
        <w:numPr>
          <w:ilvl w:val="0"/>
          <w:numId w:val="2"/>
        </w:numPr>
        <w:bidi/>
      </w:pPr>
      <w:r>
        <w:rPr>
          <w:rtl/>
        </w:rPr>
        <w:t xml:space="preserve">قطر: لم تُراجع قواعد الإعذار في القانون المدني في هذه الصفحة. راجعوا النص مع محامٍ قطري.</w:t>
      </w:r>
    </w:p>
    <w:p>
      <w:pPr>
        <w:pStyle w:val="ListParagraph"/>
        <w:numPr>
          <w:ilvl w:val="0"/>
          <w:numId w:val="2"/>
        </w:numPr>
        <w:bidi/>
      </w:pPr>
      <w:r>
        <w:rPr>
          <w:rtl/>
        </w:rPr>
        <w:t xml:space="preserve">الكويت: لم تُراجع مواد القانون المدني. راجعوها مع محامٍ كويتي.</w:t>
      </w:r>
    </w:p>
    <w:p>
      <w:pPr>
        <w:pStyle w:val="ListParagraph"/>
        <w:numPr>
          <w:ilvl w:val="0"/>
          <w:numId w:val="2"/>
        </w:numPr>
        <w:bidi/>
      </w:pPr>
      <w:r>
        <w:rPr>
          <w:rtl/>
        </w:rPr>
        <w:t xml:space="preserve">عُمان: لم يُتحقق من مادة الإعذار في قانون المعاملات المدنية. راجعوها مع محامٍ عُماني.</w:t>
      </w:r>
    </w:p>
    <w:p>
      <w:pPr>
        <w:pStyle w:val="Heading1"/>
        <w:pageBreakBefore/>
        <w:bidi/>
      </w:pPr>
      <w:r>
        <w:rPr>
          <w:rtl/>
        </w:rPr>
        <w:t xml:space="preserve">الملحق (1): المرفقات</w:t>
      </w:r>
    </w:p>
    <w:p>
      <w:pPr>
        <w:bidi/>
      </w:pPr>
      <w:r>
        <w:rPr>
          <w:rtl/>
        </w:rPr>
        <w:t xml:space="preserve">أرفقوا سند الحق الذي يسمّيه البند (2)، لا حزمة أوراق بلا وصف.</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الرقم</w:t>
            </w:r>
          </w:p>
        </w:tc>
        <w:tc>
          <w:tcPr>
            <w:shd w:fill="EDEDED" w:color="auto" w:val="clear"/>
            <w:tcMar>
              <w:top w:type="dxa" w:w="80"/>
              <w:left w:type="dxa" w:w="100"/>
              <w:bottom w:type="dxa" w:w="80"/>
              <w:right w:type="dxa" w:w="100"/>
            </w:tcMar>
          </w:tcPr>
          <w:p>
            <w:pPr>
              <w:bidi/>
              <w:spacing w:after="0"/>
            </w:pPr>
            <w:r>
              <w:rPr>
                <w:b/>
                <w:bCs/>
                <w:sz w:val="18"/>
                <w:szCs w:val="18"/>
                <w:rtl/>
              </w:rPr>
              <w:t xml:space="preserve">الوصف</w:t>
            </w:r>
          </w:p>
        </w:tc>
        <w:tc>
          <w:tcPr>
            <w:shd w:fill="EDEDED" w:color="auto" w:val="clear"/>
            <w:tcMar>
              <w:top w:type="dxa" w:w="80"/>
              <w:left w:type="dxa" w:w="100"/>
              <w:bottom w:type="dxa" w:w="80"/>
              <w:right w:type="dxa" w:w="100"/>
            </w:tcMar>
          </w:tcPr>
          <w:p>
            <w:pPr>
              <w:bidi/>
              <w:spacing w:after="0"/>
            </w:pPr>
            <w:r>
              <w:rPr>
                <w:b/>
                <w:bCs/>
                <w:sz w:val="18"/>
                <w:szCs w:val="18"/>
                <w:rtl/>
              </w:rPr>
              <w:t xml:space="preserve">النوع</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وصف المرفق</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عقد / فاتورة / سند لأمر / حكم</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pmtxa0hxmx30simfcwrjw">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‪https://www.qanu.ai/ar/نماذج/نموذج-إنذار-عدلي‬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تشريعات الإمارات، المرسوم بقانون اتحادي رقم (20) لسنة 2022 بشأن تنظيم مهنة الكاتب العدل، المادة (1) التعاريف </w:t>
      </w:r>
      <w:hyperlink w:history="1" r:id="rId56rklyqjacsasxv0lzabw">
        <w:r>
          <w:rPr>
            <w:rStyle w:val="Hyperlink"/>
            <w:sz w:val="16"/>
            <w:szCs w:val="16"/>
          </w:rPr>
          <w:t xml:space="preserve">https://uaelegislation.gov.ae/en/legislations/1563</w:t>
        </w:r>
      </w:hyperlink>
    </w:p>
    <w:p>
      <w:pPr>
        <w:bidi/>
        <w:ind w:start="360" w:hanging="360"/>
      </w:pPr>
      <w:r>
        <w:rPr>
          <w:sz w:val="18"/>
          <w:szCs w:val="18"/>
          <w:rtl/>
        </w:rPr>
        <w:t xml:space="preserve">[2] تشريعات الإمارات، المرسوم بقانون اتحادي رقم (50) لسنة 2022 بإصدار قانون المعاملات التجارية (التبليغ في المسائل التجارية؛ ولا تورد هذه الصفحة رقم المادة) </w:t>
      </w:r>
      <w:hyperlink w:history="1" r:id="rIdv9hdkmh7mjsmhklvrnwdk">
        <w:r>
          <w:rPr>
            <w:rStyle w:val="Hyperlink"/>
            <w:sz w:val="16"/>
            <w:szCs w:val="16"/>
          </w:rPr>
          <w:t xml:space="preserve">https://www.uaelegislation.gov.ae/en/legislations/1610</w:t>
        </w:r>
      </w:hyperlink>
    </w:p>
    <w:p>
      <w:pPr>
        <w:bidi/>
        <w:ind w:start="360" w:hanging="360"/>
      </w:pPr>
      <w:r>
        <w:rPr>
          <w:sz w:val="18"/>
          <w:szCs w:val="18"/>
          <w:rtl/>
        </w:rPr>
        <w:t xml:space="preserve">[3] هيئة الخبراء بمجلس الوزراء، نظام المعاملات المدنية الصادر بالمرسوم الملكي رقم (م/191) وتاريخ 29/11/1444هـ </w:t>
      </w:r>
      <w:hyperlink w:history="1" r:id="rId0s7gjiel5gcloftz68ash">
        <w:r>
          <w:rPr>
            <w:rStyle w:val="Hyperlink"/>
            <w:sz w:val="16"/>
            <w:szCs w:val="16"/>
          </w:rPr>
          <w:t xml:space="preserve">https://laws.boe.gov.sa/BoeLaws/Laws/LawDetails/655fdb42-8c96-422b-b8c4-b04f0095c94c/1</w:t>
        </w:r>
      </w:hyperlink>
    </w:p>
    <w:p>
      <w:pPr>
        <w:bidi/>
        <w:ind w:start="360" w:hanging="360"/>
      </w:pPr>
      <w:r>
        <w:rPr>
          <w:sz w:val="18"/>
          <w:szCs w:val="18"/>
          <w:rtl/>
        </w:rPr>
        <w:t xml:space="preserve">[4] تشريعات الإمارات، مرسوم بقانون اتحادي رقم (25) لسنة 2025 (قانون المعاملات المدنية) </w:t>
      </w:r>
      <w:hyperlink w:history="1" r:id="rIdry8fgfwfkqafnfj5v0gaw">
        <w:r>
          <w:rPr>
            <w:rStyle w:val="Hyperlink"/>
            <w:sz w:val="16"/>
            <w:szCs w:val="16"/>
          </w:rPr>
          <w:t xml:space="preserve">https://uaelegislation.gov.ae/en/legislations/4011</w:t>
        </w:r>
      </w:hyperlink>
    </w:p>
    <w:p>
      <w:pPr>
        <w:bidi/>
        <w:ind w:start="360" w:hanging="360"/>
      </w:pPr>
      <w:r>
        <w:rPr>
          <w:sz w:val="18"/>
          <w:szCs w:val="18"/>
          <w:rtl/>
        </w:rPr>
        <w:t xml:space="preserve">[5] هيئة الخبراء بمجلس الوزراء، نظام المحاكم التجارية </w:t>
      </w:r>
      <w:hyperlink w:history="1" r:id="rIdc6t5tpil8z0le32nflmde">
        <w:r>
          <w:rPr>
            <w:rStyle w:val="Hyperlink"/>
            <w:sz w:val="16"/>
            <w:szCs w:val="16"/>
          </w:rPr>
          <w:t xml:space="preserve">https://laws.boe.gov.sa/BoeLaws/Laws/LawDetails/38334008-3b70-4c6c-b3af-aba3016a8061/1</w:t>
        </w:r>
      </w:hyperlink>
    </w:p>
    <w:p>
      <w:pPr>
        <w:bidi/>
        <w:ind w:start="360" w:hanging="360"/>
      </w:pPr>
      <w:r>
        <w:rPr>
          <w:sz w:val="18"/>
          <w:szCs w:val="18"/>
          <w:rtl/>
        </w:rPr>
        <w:t xml:space="preserve">[6] هيئة التشريع والرأي القانوني، القانون المدني البحريني الصادر بالمرسوم بقانون رقم (19) لسنة 2001 </w:t>
      </w:r>
      <w:hyperlink w:history="1" r:id="rIdebfrwt7_ok0jw8urgswav">
        <w:r>
          <w:rPr>
            <w:rStyle w:val="Hyperlink"/>
            <w:sz w:val="16"/>
            <w:szCs w:val="16"/>
          </w:rPr>
          <w:t xml:space="preserve">https://www.lloc.gov.bh/Legislation/HTM/L1901</w:t>
        </w:r>
      </w:hyperlink>
    </w:p>
    <w:p>
      <w:pPr>
        <w:bidi/>
        <w:ind w:start="360" w:hanging="360"/>
      </w:pPr>
      <w:r>
        <w:rPr>
          <w:sz w:val="18"/>
          <w:szCs w:val="18"/>
          <w:rtl/>
        </w:rPr>
        <w:t xml:space="preserve">[7] وزارة العدل الإماراتية، نظام الكاتب العدل الإلكتروني </w:t>
      </w:r>
      <w:hyperlink w:history="1" r:id="rIdpvfdikdksjgkkjmwvuldx">
        <w:r>
          <w:rPr>
            <w:rStyle w:val="Hyperlink"/>
            <w:sz w:val="16"/>
            <w:szCs w:val="16"/>
          </w:rPr>
          <w:t xml:space="preserve">https://www.moj.gov.ae/en/services/esystems/e-notary.aspx</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اكتبوا الاسم كما في الهوية أو في </w:t>
      </w:r>
      <w:hyperlink w:history="1" r:id="rIdueaqju3fsphkbsw4-8fu6">
        <w:r>
          <w:rPr>
            <w:rStyle w:val="Hyperlink"/>
            <w:rtl/>
          </w:rPr>
          <w:t xml:space="preserve">السجل التجاري</w:t>
        </w:r>
      </w:hyperlink>
      <w:r>
        <w:rPr>
          <w:rtl/>
        </w:rPr>
        <w:t xml:space="preserve">، وعنواناً يصلح للتبليغ.</w:t>
      </w:r>
    </w:p>
  </w:comment>
  <w:comment w:id="1" w:initials="Q" w:author="Qanu" w:date="2026-10-22T00:00:00.000Z">
    <w:p>
      <w:pPr>
        <w:bidi/>
      </w:pPr>
      <w:r>
        <w:rPr>
          <w:b/>
          <w:bCs/>
          <w:rtl/>
        </w:rPr>
        <w:t xml:space="preserve">ملاحظة صياغة</w:t>
      </w:r>
    </w:p>
    <w:p>
      <w:pPr>
        <w:bidi/>
      </w:pPr>
      <w:r>
        <w:rPr>
          <w:rtl/>
        </w:rPr>
        <w:t xml:space="preserve">إذا كان السند سنداً لأمر في السعودية فأعدّوه في نافذ قبل الإنذار، وانظروا </w:t>
      </w:r>
      <w:hyperlink w:history="1" r:id="rIdey7ofhpin6tdreme39q6t">
        <w:r>
          <w:rPr>
            <w:rStyle w:val="Hyperlink"/>
            <w:rtl/>
          </w:rPr>
          <w:t xml:space="preserve">نموذج السند لأمر</w:t>
        </w:r>
      </w:hyperlink>
      <w:r>
        <w:rPr>
          <w:rtl/>
        </w:rPr>
        <w:t xml:space="preserve">. وإذا وقّع وكيل فأصدروا الوكالة من </w:t>
      </w:r>
      <w:hyperlink w:history="1" r:id="rIdmacdkedxccndtlkzisz5k">
        <w:r>
          <w:rPr>
            <w:rStyle w:val="Hyperlink"/>
            <w:rtl/>
          </w:rPr>
          <w:t xml:space="preserve">نموذج الوكالة</w:t>
        </w:r>
      </w:hyperlink>
      <w:r>
        <w:rPr>
          <w:rtl/>
        </w:rPr>
        <w:t xml:space="preserve">.</w:t>
      </w:r>
    </w:p>
  </w:comment>
  <w:comment w:id="2" w:initials="Q" w:author="Qanu" w:date="2026-10-22T00:00:00.000Z">
    <w:p>
      <w:pPr>
        <w:bidi/>
      </w:pPr>
      <w:r>
        <w:rPr>
          <w:b/>
          <w:bCs/>
          <w:rtl/>
        </w:rPr>
        <w:t xml:space="preserve">ملاحظة صياغة</w:t>
      </w:r>
    </w:p>
    <w:p>
      <w:pPr>
        <w:bidi/>
      </w:pPr>
      <w:r>
        <w:rPr>
          <w:rtl/>
        </w:rPr>
        <w:t xml:space="preserve">ثلاث وقائع مؤرخة تكفي. والتفصيل الذي لا يغيّر الطلب يُحذف.</w:t>
      </w:r>
    </w:p>
  </w:comment>
  <w:comment w:id="3" w:initials="Q" w:author="Qanu" w:date="2026-10-22T00:00:00.000Z">
    <w:p>
      <w:pPr>
        <w:bidi/>
      </w:pPr>
      <w:r>
        <w:rPr>
          <w:b/>
          <w:bCs/>
          <w:rtl/>
        </w:rPr>
        <w:t xml:space="preserve">ملاحظة صياغة</w:t>
      </w:r>
    </w:p>
    <w:p>
      <w:pPr>
        <w:bidi/>
      </w:pPr>
      <w:r>
        <w:rPr>
          <w:rtl/>
        </w:rPr>
        <w:t xml:space="preserve">أبقوا خياراً واحداً. وفي المملكة يكون الفسخ لعدم التنفيذ بعد إعذار المخل، والشرط الفاسخ لا يعفي من الإعذار إلا باتفاق صريح.</w:t>
      </w:r>
      <w:r>
        <w:rPr>
          <w:rtl/>
        </w:rPr>
        <w:t xml:space="preserve"> [3]</w:t>
      </w:r>
    </w:p>
  </w:comment>
  <w:comment w:id="4" w:initials="Q" w:author="Qanu" w:date="2026-10-22T00:00:00.000Z">
    <w:p>
      <w:pPr>
        <w:bidi/>
      </w:pPr>
      <w:r>
        <w:rPr>
          <w:b/>
          <w:bCs/>
          <w:rtl/>
        </w:rPr>
        <w:t xml:space="preserve">ملاحظة صياغة</w:t>
      </w:r>
    </w:p>
    <w:p>
      <w:pPr>
        <w:bidi/>
      </w:pPr>
      <w:r>
        <w:rPr>
          <w:rtl/>
        </w:rPr>
        <w:t xml:space="preserve">سمّوا اليوم الأخير وطريقة التنفيذ. ولا تتركوا المهلة «فوراً» إذا كان للعقد ميعاد.</w:t>
      </w:r>
    </w:p>
  </w:comment>
  <w:comment w:id="5" w:initials="Q" w:author="Qanu" w:date="2026-10-22T00:00:00.000Z">
    <w:p>
      <w:pPr>
        <w:bidi/>
      </w:pPr>
      <w:r>
        <w:rPr>
          <w:b/>
          <w:bCs/>
          <w:rtl/>
        </w:rPr>
        <w:t xml:space="preserve">ملاحظة صياغة</w:t>
      </w:r>
    </w:p>
    <w:p>
      <w:pPr>
        <w:bidi/>
      </w:pPr>
      <w:r>
        <w:rPr>
          <w:rtl/>
        </w:rPr>
        <w:t xml:space="preserve">قد يوجب نظام المحاكم التجارية إخطاراً كتابياً قبل رفع بعض الدعاوى التجارية. راجعوا النص قبل الاعتماد على مهلة، فهذه الصفحة لا تورد رقم المادة.</w:t>
      </w:r>
      <w:r>
        <w:rPr>
          <w:rtl/>
        </w:rPr>
        <w:t xml:space="preserve"> [5]</w:t>
      </w:r>
      <w:r>
        <w:rPr>
          <w:rtl/>
        </w:rPr>
        <w:t xml:space="preserve"> وللتعويض انظروا </w:t>
      </w:r>
      <w:hyperlink w:history="1" r:id="rIdt5p0da8wxbvvamerr4ma7">
        <w:r>
          <w:rPr>
            <w:rStyle w:val="Hyperlink"/>
            <w:rtl/>
          </w:rPr>
          <w:t xml:space="preserve">التعويض</w:t>
        </w:r>
      </w:hyperlink>
      <w:r>
        <w:rPr>
          <w:rtl/>
        </w:rPr>
        <w:t xml:space="preserve"> و</w:t>
      </w:r>
      <w:hyperlink w:history="1" r:id="rIdyhzyumbnpokuzrqupkdrn">
        <w:r>
          <w:rPr>
            <w:rStyle w:val="Hyperlink"/>
            <w:rtl/>
          </w:rPr>
          <w:t xml:space="preserve">الشرط الجزائي</w:t>
        </w:r>
      </w:hyperlink>
      <w:r>
        <w:rPr>
          <w:rtl/>
        </w:rPr>
        <w:t xml:space="preserve">.</w:t>
      </w:r>
    </w:p>
  </w:comment>
  <w:comment w:id="6" w:initials="Q" w:author="Qanu" w:date="2026-10-22T00:00:00.000Z">
    <w:p>
      <w:pPr>
        <w:bidi/>
      </w:pPr>
      <w:r>
        <w:rPr>
          <w:b/>
          <w:bCs/>
          <w:rtl/>
        </w:rPr>
        <w:t xml:space="preserve">ملاحظة صياغة</w:t>
      </w:r>
    </w:p>
    <w:p>
      <w:pPr>
        <w:bidi/>
      </w:pPr>
      <w:r>
        <w:rPr>
          <w:rtl/>
        </w:rPr>
        <w:t xml:space="preserve">أبقوا الطريقة التي ستستعملونها. وفي الإمارات انظروا </w:t>
      </w:r>
      <w:hyperlink w:history="1" r:id="rId1qwrzilsorukdwn8dlmau">
        <w:r>
          <w:rPr>
            <w:rStyle w:val="Hyperlink"/>
            <w:rtl/>
          </w:rPr>
          <w:t xml:space="preserve">الكاتب العدل</w:t>
        </w:r>
      </w:hyperlink>
      <w:r>
        <w:rPr>
          <w:rtl/>
        </w:rPr>
        <w:t xml:space="preserve">. ولم تُراجع قواعد الإعذار في قطر والكويت وعُمان في هذه الصفحة.</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F56D1B4C-2AA3-8C81-CB37-7DB4654513CC}"/>
    <w:embedBold r:id="rId2" w:fontKey="{9694515B-6B85-B7B9-8D85-CE989E08AE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‪https://www.qanu.ai/ar/نماذج/نموذج-إنذار-عدلي‬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‪https://www.qanu.ai/ar/نماذج/نموذج-إنذار-عدلي‬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ueaqju3fsphkbsw4-8fu6" Type="http://schemas.openxmlformats.org/officeDocument/2006/relationships/hyperlink" Target="https://www.qanu.ai/ar/%D9%85%D8%B3%D8%B1%D8%AF-%D9%82%D8%A7%D9%86%D9%88%D9%86%D9%8A/%D8%B3%D8%AC%D9%84-%D8%AA%D8%AC%D8%A7%D8%B1%D9%8A" TargetMode="External"/><Relationship Id="rIdey7ofhpin6tdreme39q6t" Type="http://schemas.openxmlformats.org/officeDocument/2006/relationships/hyperlink" Target="https://www.qanu.ai/ar/%D9%86%D9%85%D8%A7%D8%B0%D8%AC/%D9%86%D9%85%D9%88%D8%B0%D8%AC-%D8%B3%D9%86%D8%AF-%D9%84%D8%A3%D9%85%D8%B1" TargetMode="External"/><Relationship Id="rIdmacdkedxccndtlkzisz5k" Type="http://schemas.openxmlformats.org/officeDocument/2006/relationships/hyperlink" Target="https://www.qanu.ai/ar/%D9%86%D9%85%D8%A7%D8%B0%D8%AC/%D9%86%D9%85%D9%88%D8%B0%D8%AC-%D9%88%D9%83%D8%A7%D9%84%D8%A9" TargetMode="External"/><Relationship Id="rIdt5p0da8wxbvvamerr4ma7" Type="http://schemas.openxmlformats.org/officeDocument/2006/relationships/hyperlink" Target="https://www.qanu.ai/ar/%D9%85%D8%B3%D8%B1%D8%AF-%D9%82%D8%A7%D9%86%D9%88%D9%86%D9%8A/%D8%AA%D8%B9%D9%88%D9%8A%D8%B6" TargetMode="External"/><Relationship Id="rIdyhzyumbnpokuzrqupkdrn" Type="http://schemas.openxmlformats.org/officeDocument/2006/relationships/hyperlink" Target="https://www.qanu.ai/ar/%D9%85%D8%B3%D8%B1%D8%AF-%D9%82%D8%A7%D9%86%D9%88%D9%86%D9%8A/%D8%B4%D8%B1%D8%B7-%D8%AC%D8%B2%D8%A7%D8%A6%D9%8A" TargetMode="External"/><Relationship Id="rId1qwrzilsorukdwn8dlmau" Type="http://schemas.openxmlformats.org/officeDocument/2006/relationships/hyperlink" Target="https://www.qanu.ai/ar/%D9%85%D8%B3%D8%B1%D8%AF-%D9%82%D8%A7%D9%86%D9%88%D9%86%D9%8A/%D9%83%D8%A7%D8%AA%D8%A8-%D8%A7%D9%84%D8%B9%D8%AF%D9%84"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2gyqfitp1w_hzbu9_cdd-" Type="http://schemas.openxmlformats.org/officeDocument/2006/relationships/hyperlink" Target="https://uaelegislation.gov.ae/en/legislations/1563" TargetMode="External"/><Relationship Id="rIds7udetzcuj3v9rhkt9d_8" Type="http://schemas.openxmlformats.org/officeDocument/2006/relationships/hyperlink" Target="https://laws.boe.gov.sa/BoeLaws/Laws/LawDetails/655fdb42-8c96-422b-b8c4-b04f0095c94c/1" TargetMode="External"/><Relationship Id="rIdsf62oweb3yus6goj7l5ri" Type="http://schemas.openxmlformats.org/officeDocument/2006/relationships/hyperlink" Target="https://www.moj.gov.ae/en/services/esystems/e-notary.aspx" TargetMode="External"/><Relationship Id="rIdv2lfzpxo2zp9i-hwvnjf8" Type="http://schemas.openxmlformats.org/officeDocument/2006/relationships/hyperlink" Target="https://www.qanu.ai/ar/%D9%86%D9%85%D8%A7%D8%B0%D8%AC/%D9%86%D9%85%D9%88%D8%B0%D8%AC-%D8%B9%D9%82%D8%AF-%D8%A5%D9%8A%D8%AC%D8%A7%D8%B1" TargetMode="External"/><Relationship Id="rIduapvuhnchmxgtfhidjcch" Type="http://schemas.openxmlformats.org/officeDocument/2006/relationships/hyperlink" Target="https://www.qanu.ai/ar/%D9%86%D9%85%D8%A7%D8%B0%D8%AC/%D9%86%D9%85%D9%88%D8%B0%D8%AC-%D8%B5%D8%AD%D9%8A%D9%81%D8%A9-%D8%AF%D8%B9%D9%88%D9%89" TargetMode="External"/><Relationship Id="rIdpmtxa0hxmx30simfcwrjw" Type="http://schemas.openxmlformats.org/officeDocument/2006/relationships/hyperlink" Target="https://creativecommons.org/licenses/by/4.0/deed.ar" TargetMode="External"/><Relationship Id="rId56rklyqjacsasxv0lzabw" Type="http://schemas.openxmlformats.org/officeDocument/2006/relationships/hyperlink" Target="https://uaelegislation.gov.ae/en/legislations/1563" TargetMode="External"/><Relationship Id="rIdv9hdkmh7mjsmhklvrnwdk" Type="http://schemas.openxmlformats.org/officeDocument/2006/relationships/hyperlink" Target="https://www.uaelegislation.gov.ae/en/legislations/1610" TargetMode="External"/><Relationship Id="rId0s7gjiel5gcloftz68ash" Type="http://schemas.openxmlformats.org/officeDocument/2006/relationships/hyperlink" Target="https://laws.boe.gov.sa/BoeLaws/Laws/LawDetails/655fdb42-8c96-422b-b8c4-b04f0095c94c/1" TargetMode="External"/><Relationship Id="rIdry8fgfwfkqafnfj5v0gaw" Type="http://schemas.openxmlformats.org/officeDocument/2006/relationships/hyperlink" Target="https://uaelegislation.gov.ae/en/legislations/4011" TargetMode="External"/><Relationship Id="rIdc6t5tpil8z0le32nflmde" Type="http://schemas.openxmlformats.org/officeDocument/2006/relationships/hyperlink" Target="https://laws.boe.gov.sa/BoeLaws/Laws/LawDetails/38334008-3b70-4c6c-b3af-aba3016a8061/1" TargetMode="External"/><Relationship Id="rIdebfrwt7_ok0jw8urgswav" Type="http://schemas.openxmlformats.org/officeDocument/2006/relationships/hyperlink" Target="https://www.lloc.gov.bh/Legislation/HTM/L1901" TargetMode="External"/><Relationship Id="rIdpvfdikdksjgkkjmwvuldx" Type="http://schemas.openxmlformats.org/officeDocument/2006/relationships/hyperlink" Target="https://www.moj.gov.ae/en/services/esystems/e-notary.aspx"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إنذار عدلي</dc:title>
  <dc:creator>Qanu</dc:creator>
  <cp:keywords>إنذار عدلي, إعذار, كاتب العدل,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2026-10-21T21:23:25.050Z</dcterms:created>
  <dcterms:modified xsi:type="dcterms:W3CDTF">2026-10-21T21:23:25.050Z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https://www.qanu.ai/ar/نماذج/نموذج-إنذار-عدلي</vt:lpwstr>
  </property>
</Properties>
</file>