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comments+xml" PartName="/word/comment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top w:val="single" w:color="111111" w:sz="12" w:space="6"/>
          <w:left w:val="single" w:color="111111" w:sz="12" w:space="6"/>
          <w:bottom w:val="single" w:color="111111" w:sz="12" w:space="6"/>
          <w:right w:val="single" w:color="111111" w:sz="12" w:space="6"/>
        </w:pBdr>
        <w:shd w:fill="FFF4D6" w:color="auto" w:val="clear"/>
        <w:bidi w:val="false"/>
      </w:pPr>
      <w:r>
        <w:rPr>
          <w:b/>
          <w:bCs/>
          <w:rtl w:val="false"/>
        </w:rPr>
        <w:t xml:space="preserve">In the UAE the notice goes through the notary. In Saudi Arabia it is a notice of default, not a “legal notice”.</w:t>
      </w:r>
      <w:r>
        <w:rPr>
          <w:rtl w:val="false"/>
        </w:rPr>
        <w:t xml:space="preserve"> The definition of an “instrument” in Federal Decree-Law No. 20 of 2022 on the notary profession covers every document, contract, notification or warning that a notary draws up, notarises, or serves on the persons concerned.</w:t>
      </w:r>
      <w:r>
        <w:rPr>
          <w:rtl w:val="false"/>
        </w:rPr>
        <w:t xml:space="preserve"> [1]</w:t>
      </w:r>
      <w:r>
        <w:rPr>
          <w:rtl w:val="false"/>
        </w:rPr>
        <w:t xml:space="preserve"> In commercial matters, Federal Decree-Law No. 50 of 2022 provides for service through a notary, registered post, or electronic means. This page states no article number of that decree-law.</w:t>
      </w:r>
      <w:r>
        <w:rPr>
          <w:rtl w:val="false"/>
        </w:rPr>
        <w:t xml:space="preserve"> [2]</w:t>
      </w:r>
      <w:r>
        <w:rPr>
          <w:rtl w:val="false"/>
        </w:rPr>
        <w:t xml:space="preserve"> In Saudi Arabia, notice of default may be given by any method the parties agreed or that the law prescribes for service, and filing the claim is one of those methods.</w:t>
      </w:r>
      <w:r>
        <w:rPr>
          <w:rtl w:val="false"/>
        </w:rPr>
        <w:t xml:space="preserve"> [3]</w:t>
      </w:r>
      <w:r>
        <w:rPr>
          <w:rtl w:val="false"/>
        </w:rPr>
        <w:t xml:space="preserve"> The UAE Civil Transactions Law in force is Federal Decree-Law No. 25 of 2025, in force on 1 June 2026. Article 2 of the issuing decree-law repeals Federal Law No. 5 of 1985. This page states no default-notice article of the new law.</w:t>
      </w:r>
      <w:r>
        <w:rPr>
          <w:rtl w:val="false"/>
        </w:rPr>
        <w:t xml:space="preserve"> [4]</w:t>
      </w:r>
    </w:p>
    <w:p>
      <w:pPr>
        <w:pBdr>
          <w:top w:val="single" w:color="111111" w:sz="12" w:space="6"/>
          <w:left w:val="single" w:color="111111" w:sz="12" w:space="6"/>
          <w:bottom w:val="single" w:color="111111" w:sz="12" w:space="6"/>
          <w:right w:val="single" w:color="111111" w:sz="12" w:space="6"/>
        </w:pBdr>
        <w:shd w:fill="FFF4D6" w:color="auto" w:val="clear"/>
        <w:bidi w:val="false"/>
      </w:pPr>
      <w:r>
        <w:rPr>
          <w:b/>
          <w:bCs/>
          <w:sz w:val="19"/>
          <w:szCs w:val="19"/>
          <w:rtl w:val="false"/>
        </w:rPr>
        <w:t xml:space="preserve">↗ Notary profession: </w:t>
      </w:r>
      <w:hyperlink w:history="1" r:id="rIdlhzojnrfvjgh8vzzcevzc">
        <w:r>
          <w:rPr>
            <w:rStyle w:val="Hyperlink"/>
            <w:sz w:val="17"/>
            <w:szCs w:val="17"/>
          </w:rPr>
          <w:t xml:space="preserve">https://uaelegislation.gov.ae/en/legislations/1563</w:t>
        </w:r>
      </w:hyperlink>
    </w:p>
    <w:p>
      <w:pPr>
        <w:pBdr>
          <w:top w:val="single" w:color="111111" w:sz="12" w:space="6"/>
          <w:left w:val="single" w:color="111111" w:sz="12" w:space="6"/>
          <w:bottom w:val="single" w:color="111111" w:sz="12" w:space="6"/>
          <w:right w:val="single" w:color="111111" w:sz="12" w:space="6"/>
        </w:pBdr>
        <w:shd w:fill="FFF4D6" w:color="auto" w:val="clear"/>
        <w:bidi w:val="false"/>
      </w:pPr>
      <w:r>
        <w:rPr>
          <w:b/>
          <w:bCs/>
          <w:sz w:val="19"/>
          <w:szCs w:val="19"/>
          <w:rtl w:val="false"/>
        </w:rPr>
        <w:t xml:space="preserve">↗ Civil Transactions Law: </w:t>
      </w:r>
      <w:hyperlink w:history="1" r:id="rIdlw5ntc_hmcdlxufvwphxu">
        <w:r>
          <w:rPr>
            <w:rStyle w:val="Hyperlink"/>
            <w:sz w:val="17"/>
            <w:szCs w:val="17"/>
          </w:rPr>
          <w:t xml:space="preserve">https://laws.boe.gov.sa/BoeLaws/Laws/LawDetails/655fdb42-8c96-422b-b8c4-b04f0095c94c/1</w:t>
        </w:r>
      </w:hyperlink>
    </w:p>
    <w:p>
      <w:pPr>
        <w:pBdr>
          <w:top w:val="single" w:color="111111" w:sz="12" w:space="6"/>
          <w:left w:val="single" w:color="111111" w:sz="12" w:space="6"/>
          <w:bottom w:val="single" w:color="111111" w:sz="12" w:space="6"/>
          <w:right w:val="single" w:color="111111" w:sz="12" w:space="6"/>
        </w:pBdr>
        <w:shd w:fill="FFF4D6" w:color="auto" w:val="clear"/>
        <w:bidi w:val="false"/>
      </w:pPr>
      <w:r>
        <w:rPr>
          <w:b/>
          <w:bCs/>
          <w:sz w:val="19"/>
          <w:szCs w:val="19"/>
          <w:rtl w:val="false"/>
        </w:rPr>
        <w:t xml:space="preserve">↗ UAE e-Notary: </w:t>
      </w:r>
      <w:hyperlink w:history="1" r:id="rIduzyaux5ub22lyj8ymz8hk">
        <w:r>
          <w:rPr>
            <w:rStyle w:val="Hyperlink"/>
            <w:sz w:val="17"/>
            <w:szCs w:val="17"/>
          </w:rPr>
          <w:t xml:space="preserve">https://www.moj.gov.ae/en/services/esystems/e-notary.aspx</w:t>
        </w:r>
      </w:hyperlink>
    </w:p>
    <w:p>
      <w:pPr>
        <w:bidi w:val="false"/>
        <w:spacing w:after="240"/>
      </w:pPr>
    </w:p>
    <w:p>
      <w:pPr>
        <w:pStyle w:val="Title"/>
        <w:bidi w:val="false"/>
      </w:pPr>
      <w:r>
        <w:rPr>
          <w:rtl w:val="false"/>
        </w:rPr>
        <w:t xml:space="preserve">Legal notice</w:t>
      </w:r>
    </w:p>
    <w:p>
      <w:pPr>
        <w:bidi w:val="false"/>
        <w:spacing w:after="240"/>
      </w:pPr>
      <w:r>
        <w:rPr>
          <w:color w:val="444444"/>
          <w:rtl w:val="false"/>
        </w:rPr>
        <w:t xml:space="preserve">A draft notice demanding a sum, seeking eviction or non-renewal, giving notice of default before termination, or notifying the end of a contract, for use in the GCC. Saudi law does not use the name “notarised legal notice”; the statutory terms are formal notice of default and written notice. Replace every </w:t>
      </w:r>
      <w:r>
        <w:rPr>
          <w:color w:val="444444"/>
          <w:highlight w:val="yellow"/>
          <w:rtl w:val="false"/>
        </w:rPr>
        <w:t xml:space="preserve">[</w:t>
      </w:r>
      <w:r>
        <w:rPr>
          <w:color w:val="444444"/>
          <w:highlight w:val="yellow"/>
          <w:rtl w:val="false"/>
        </w:rPr>
        <w:t xml:space="preserve">bracket</w:t>
      </w:r>
      <w:r>
        <w:rPr>
          <w:color w:val="444444"/>
          <w:highlight w:val="yellow"/>
          <w:rtl w:val="false"/>
        </w:rPr>
        <w:t xml:space="preserve">]</w:t>
      </w:r>
      <w:r>
        <w:rPr>
          <w:color w:val="444444"/>
          <w:rtl w:val="false"/>
        </w:rPr>
        <w:t xml:space="preserve"> and delete the option that does not apply. This is a starting point. Have it reviewed by a lawyer licensed in the relevant jurisdiction before you use it.</w:t>
      </w:r>
    </w:p>
    <w:p>
      <w:pPr>
        <w:pStyle w:val="Heading1"/>
        <w:bidi w:val="false"/>
      </w:pPr>
      <w:commentRangeStart w:id="0"/>
      <w:r>
        <w:rPr>
          <w:rtl w:val="false"/>
        </w:rPr>
        <w:t xml:space="preserve">Clause 1: The parties</w:t>
      </w:r>
      <w:commentRangeEnd w:id="0"/>
      <w:r>
        <w:rPr>
          <w:rtl w:val="false"/>
        </w:rPr>
        <w:commentReference w:id="0"/>
      </w:r>
    </w:p>
    <w:p>
      <w:pPr>
        <w:bidi w:val="false"/>
      </w:pPr>
      <w:r>
        <w:rPr>
          <w:rtl w:val="false"/>
        </w:rPr>
        <w:t xml:space="preserve">I, </w:t>
      </w:r>
      <w:r>
        <w:rPr>
          <w:highlight w:val="yellow"/>
          <w:rtl w:val="false"/>
        </w:rPr>
        <w:t xml:space="preserve">[</w:t>
      </w:r>
      <w:r>
        <w:rPr>
          <w:highlight w:val="yellow"/>
          <w:rtl w:val="false"/>
        </w:rPr>
        <w:t xml:space="preserve">name</w:t>
      </w:r>
      <w:r>
        <w:rPr>
          <w:highlight w:val="yellow"/>
          <w:rtl w:val="false"/>
        </w:rPr>
        <w:t xml:space="preserve">]</w:t>
      </w:r>
      <w:r>
        <w:rPr>
          <w:rtl w:val="false"/>
        </w:rPr>
        <w:t xml:space="preserve">, identity / commercial registration </w:t>
      </w:r>
      <w:r>
        <w:rPr>
          <w:highlight w:val="yellow"/>
          <w:rtl w:val="false"/>
        </w:rPr>
        <w:t xml:space="preserve">[</w:t>
      </w:r>
      <w:r>
        <w:rPr>
          <w:highlight w:val="yellow"/>
          <w:rtl w:val="false"/>
        </w:rPr>
        <w:t xml:space="preserve">●</w:t>
      </w:r>
      <w:r>
        <w:rPr>
          <w:highlight w:val="yellow"/>
          <w:rtl w:val="false"/>
        </w:rPr>
        <w:t xml:space="preserve">]</w:t>
      </w:r>
      <w:r>
        <w:rPr>
          <w:rtl w:val="false"/>
        </w:rPr>
        <w:t xml:space="preserve">, of </w:t>
      </w:r>
      <w:r>
        <w:rPr>
          <w:highlight w:val="yellow"/>
          <w:rtl w:val="false"/>
        </w:rPr>
        <w:t xml:space="preserve">[</w:t>
      </w:r>
      <w:r>
        <w:rPr>
          <w:highlight w:val="yellow"/>
          <w:rtl w:val="false"/>
        </w:rPr>
        <w:t xml:space="preserve">national or elected address</w:t>
      </w:r>
      <w:r>
        <w:rPr>
          <w:highlight w:val="yellow"/>
          <w:rtl w:val="false"/>
        </w:rPr>
        <w:t xml:space="preserve">]</w:t>
      </w:r>
      <w:r>
        <w:rPr>
          <w:rtl w:val="false"/>
        </w:rPr>
        <w:t xml:space="preserve"> (the “Notifying Party”), give notice to </w:t>
      </w:r>
      <w:r>
        <w:rPr>
          <w:highlight w:val="yellow"/>
          <w:rtl w:val="false"/>
        </w:rPr>
        <w:t xml:space="preserve">[</w:t>
      </w:r>
      <w:r>
        <w:rPr>
          <w:highlight w:val="yellow"/>
          <w:rtl w:val="false"/>
        </w:rPr>
        <w:t xml:space="preserve">name</w:t>
      </w:r>
      <w:r>
        <w:rPr>
          <w:highlight w:val="yellow"/>
          <w:rtl w:val="false"/>
        </w:rPr>
        <w:t xml:space="preserve">]</w:t>
      </w:r>
      <w:r>
        <w:rPr>
          <w:rtl w:val="false"/>
        </w:rPr>
        <w:t xml:space="preserve">, identity / commercial registration </w:t>
      </w:r>
      <w:r>
        <w:rPr>
          <w:highlight w:val="yellow"/>
          <w:rtl w:val="false"/>
        </w:rPr>
        <w:t xml:space="preserve">[</w:t>
      </w:r>
      <w:r>
        <w:rPr>
          <w:highlight w:val="yellow"/>
          <w:rtl w:val="false"/>
        </w:rPr>
        <w:t xml:space="preserve">●</w:t>
      </w:r>
      <w:r>
        <w:rPr>
          <w:highlight w:val="yellow"/>
          <w:rtl w:val="false"/>
        </w:rPr>
        <w:t xml:space="preserve">]</w:t>
      </w:r>
      <w:r>
        <w:rPr>
          <w:rtl w:val="false"/>
        </w:rPr>
        <w:t xml:space="preserve">, of </w:t>
      </w:r>
      <w:r>
        <w:rPr>
          <w:highlight w:val="yellow"/>
          <w:rtl w:val="false"/>
        </w:rPr>
        <w:t xml:space="preserve">[</w:t>
      </w:r>
      <w:r>
        <w:rPr>
          <w:highlight w:val="yellow"/>
          <w:rtl w:val="false"/>
        </w:rPr>
        <w:t xml:space="preserve">national or elected address</w:t>
      </w:r>
      <w:r>
        <w:rPr>
          <w:highlight w:val="yellow"/>
          <w:rtl w:val="false"/>
        </w:rPr>
        <w:t xml:space="preserve">]</w:t>
      </w:r>
      <w:r>
        <w:rPr>
          <w:rtl w:val="false"/>
        </w:rPr>
        <w:t xml:space="preserve"> (the “Addressee”).</w:t>
      </w:r>
    </w:p>
    <w:p>
      <w:pPr>
        <w:pStyle w:val="Heading1"/>
        <w:bidi w:val="false"/>
      </w:pPr>
      <w:commentRangeStart w:id="1"/>
      <w:r>
        <w:rPr>
          <w:rtl w:val="false"/>
        </w:rPr>
        <w:t xml:space="preserve">Clause 2: Capacity and the right relied on</w:t>
      </w:r>
      <w:commentRangeEnd w:id="1"/>
      <w:r>
        <w:rPr>
          <w:rtl w:val="false"/>
        </w:rPr>
        <w:commentReference w:id="1"/>
      </w:r>
    </w:p>
    <w:p>
      <w:pPr>
        <w:bidi w:val="false"/>
      </w:pPr>
      <w:r>
        <w:rPr>
          <w:rtl w:val="false"/>
        </w:rPr>
        <w:t xml:space="preserve">I give this notice as: </w:t>
      </w:r>
      <w:r>
        <w:rPr>
          <w:highlight w:val="yellow"/>
          <w:rtl w:val="false"/>
        </w:rPr>
        <w:t xml:space="preserve">[</w:t>
      </w:r>
      <w:r>
        <w:rPr>
          <w:highlight w:val="yellow"/>
          <w:rtl w:val="false"/>
        </w:rPr>
        <w:t xml:space="preserve">principal / attorney under power no. ● / manager of ●</w:t>
      </w:r>
      <w:r>
        <w:rPr>
          <w:highlight w:val="yellow"/>
          <w:rtl w:val="false"/>
        </w:rPr>
        <w:t xml:space="preserve">]</w:t>
      </w:r>
      <w:r>
        <w:rPr>
          <w:rtl w:val="false"/>
        </w:rPr>
        <w:t xml:space="preserve">. The right relied on is: </w:t>
      </w:r>
      <w:r>
        <w:rPr>
          <w:highlight w:val="yellow"/>
          <w:rtl w:val="false"/>
        </w:rPr>
        <w:t xml:space="preserve">[</w:t>
      </w:r>
      <w:r>
        <w:rPr>
          <w:highlight w:val="yellow"/>
          <w:rtl w:val="false"/>
        </w:rPr>
        <w:t xml:space="preserve">contract dated ● / invoice no. ● / promissory note / judgment</w:t>
      </w:r>
      <w:r>
        <w:rPr>
          <w:highlight w:val="yellow"/>
          <w:rtl w:val="false"/>
        </w:rPr>
        <w:t xml:space="preserve">]</w:t>
      </w:r>
      <w:r>
        <w:rPr>
          <w:rtl w:val="false"/>
        </w:rPr>
        <w:t xml:space="preserve">.</w:t>
      </w:r>
    </w:p>
    <w:p>
      <w:pPr>
        <w:pStyle w:val="Heading1"/>
        <w:bidi w:val="false"/>
      </w:pPr>
      <w:commentRangeStart w:id="2"/>
      <w:r>
        <w:rPr>
          <w:rtl w:val="false"/>
        </w:rPr>
        <w:t xml:space="preserve">Clause 3: Facts</w:t>
      </w:r>
      <w:commentRangeEnd w:id="2"/>
      <w:r>
        <w:rPr>
          <w:rtl w:val="false"/>
        </w:rPr>
        <w:commentReference w:id="2"/>
      </w:r>
    </w:p>
    <w:p>
      <w:pPr>
        <w:bidi w:val="false"/>
        <w:ind w:start="360" w:hanging="0"/>
      </w:pPr>
      <w:r>
        <w:rPr>
          <w:rtl w:val="false"/>
        </w:rPr>
        <w:t xml:space="preserve">(1) On </w:t>
      </w:r>
      <w:r>
        <w:rPr>
          <w:highlight w:val="yellow"/>
          <w:rtl w:val="false"/>
        </w:rPr>
        <w:t xml:space="preserve">[</w:t>
      </w:r>
      <w:r>
        <w:rPr>
          <w:highlight w:val="yellow"/>
          <w:rtl w:val="false"/>
        </w:rPr>
        <w:t xml:space="preserve">date</w:t>
      </w:r>
      <w:r>
        <w:rPr>
          <w:highlight w:val="yellow"/>
          <w:rtl w:val="false"/>
        </w:rPr>
        <w:t xml:space="preserve">]</w:t>
      </w:r>
      <w:r>
        <w:rPr>
          <w:rtl w:val="false"/>
        </w:rPr>
        <w:t xml:space="preserve">: </w:t>
      </w:r>
      <w:r>
        <w:rPr>
          <w:highlight w:val="yellow"/>
          <w:rtl w:val="false"/>
        </w:rPr>
        <w:t xml:space="preserve">[</w:t>
      </w:r>
      <w:r>
        <w:rPr>
          <w:highlight w:val="yellow"/>
          <w:rtl w:val="false"/>
        </w:rPr>
        <w:t xml:space="preserve">the fact</w:t>
      </w:r>
      <w:r>
        <w:rPr>
          <w:highlight w:val="yellow"/>
          <w:rtl w:val="false"/>
        </w:rPr>
        <w:t xml:space="preserve">]</w:t>
      </w:r>
      <w:r>
        <w:rPr>
          <w:rtl w:val="false"/>
        </w:rPr>
        <w:t xml:space="preserve">.</w:t>
      </w:r>
    </w:p>
    <w:p>
      <w:pPr>
        <w:bidi w:val="false"/>
        <w:ind w:start="360" w:hanging="0"/>
      </w:pPr>
      <w:r>
        <w:rPr>
          <w:rtl w:val="false"/>
        </w:rPr>
        <w:t xml:space="preserve">(2) On </w:t>
      </w:r>
      <w:r>
        <w:rPr>
          <w:highlight w:val="yellow"/>
          <w:rtl w:val="false"/>
        </w:rPr>
        <w:t xml:space="preserve">[</w:t>
      </w:r>
      <w:r>
        <w:rPr>
          <w:highlight w:val="yellow"/>
          <w:rtl w:val="false"/>
        </w:rPr>
        <w:t xml:space="preserve">date</w:t>
      </w:r>
      <w:r>
        <w:rPr>
          <w:highlight w:val="yellow"/>
          <w:rtl w:val="false"/>
        </w:rPr>
        <w:t xml:space="preserve">]</w:t>
      </w:r>
      <w:r>
        <w:rPr>
          <w:rtl w:val="false"/>
        </w:rPr>
        <w:t xml:space="preserve">: </w:t>
      </w:r>
      <w:r>
        <w:rPr>
          <w:highlight w:val="yellow"/>
          <w:rtl w:val="false"/>
        </w:rPr>
        <w:t xml:space="preserve">[</w:t>
      </w:r>
      <w:r>
        <w:rPr>
          <w:highlight w:val="yellow"/>
          <w:rtl w:val="false"/>
        </w:rPr>
        <w:t xml:space="preserve">what was demanded and what was performed</w:t>
      </w:r>
      <w:r>
        <w:rPr>
          <w:highlight w:val="yellow"/>
          <w:rtl w:val="false"/>
        </w:rPr>
        <w:t xml:space="preserve">]</w:t>
      </w:r>
      <w:r>
        <w:rPr>
          <w:rtl w:val="false"/>
        </w:rPr>
        <w:t xml:space="preserve">.</w:t>
      </w:r>
    </w:p>
    <w:p>
      <w:pPr>
        <w:bidi w:val="false"/>
        <w:ind w:start="360" w:hanging="0"/>
      </w:pPr>
      <w:r>
        <w:rPr>
          <w:rtl w:val="false"/>
        </w:rPr>
        <w:t xml:space="preserve">(3) Outstanding on the date of this notice: </w:t>
      </w:r>
      <w:r>
        <w:rPr>
          <w:highlight w:val="yellow"/>
          <w:rtl w:val="false"/>
        </w:rPr>
        <w:t xml:space="preserve">[</w:t>
      </w:r>
      <w:r>
        <w:rPr>
          <w:highlight w:val="yellow"/>
          <w:rtl w:val="false"/>
        </w:rPr>
        <w:t xml:space="preserve">●</w:t>
      </w:r>
      <w:r>
        <w:rPr>
          <w:highlight w:val="yellow"/>
          <w:rtl w:val="false"/>
        </w:rPr>
        <w:t xml:space="preserve">]</w:t>
      </w:r>
      <w:r>
        <w:rPr>
          <w:rtl w:val="false"/>
        </w:rPr>
        <w:t xml:space="preserve">.</w:t>
      </w:r>
    </w:p>
    <w:p>
      <w:pPr>
        <w:pStyle w:val="Heading1"/>
        <w:bidi w:val="false"/>
      </w:pPr>
      <w:commentRangeStart w:id="3"/>
      <w:r>
        <w:rPr>
          <w:rtl w:val="false"/>
        </w:rPr>
        <w:t xml:space="preserve">Clause 4: Subject of the notice</w:t>
      </w:r>
      <w:commentRangeEnd w:id="3"/>
      <w:r>
        <w:rPr>
          <w:rtl w:val="false"/>
        </w:rPr>
        <w:commentReference w:id="3"/>
      </w:r>
    </w:p>
    <w:p>
      <w:pPr>
        <w:bidi w:val="false"/>
        <w:ind w:start="360" w:hanging="0"/>
      </w:pPr>
      <w:r>
        <w:rPr>
          <w:rtl w:val="false"/>
        </w:rPr>
        <w:t xml:space="preserve">(a) Payment: I demand </w:t>
      </w:r>
      <w:r>
        <w:rPr>
          <w:highlight w:val="yellow"/>
          <w:rtl w:val="false"/>
        </w:rPr>
        <w:t xml:space="preserve">[</w:t>
      </w:r>
      <w:r>
        <w:rPr>
          <w:highlight w:val="yellow"/>
          <w:rtl w:val="false"/>
        </w:rPr>
        <w:t xml:space="preserve">amount and currency</w:t>
      </w:r>
      <w:r>
        <w:rPr>
          <w:highlight w:val="yellow"/>
          <w:rtl w:val="false"/>
        </w:rPr>
        <w:t xml:space="preserve">]</w:t>
      </w:r>
      <w:r>
        <w:rPr>
          <w:rtl w:val="false"/>
        </w:rPr>
        <w:t xml:space="preserve"> for </w:t>
      </w:r>
      <w:r>
        <w:rPr>
          <w:highlight w:val="yellow"/>
          <w:rtl w:val="false"/>
        </w:rPr>
        <w:t xml:space="preserve">[</w:t>
      </w:r>
      <w:r>
        <w:rPr>
          <w:highlight w:val="yellow"/>
          <w:rtl w:val="false"/>
        </w:rPr>
        <w:t xml:space="preserve">the cause</w:t>
      </w:r>
      <w:r>
        <w:rPr>
          <w:highlight w:val="yellow"/>
          <w:rtl w:val="false"/>
        </w:rPr>
        <w:t xml:space="preserve">]</w:t>
      </w:r>
      <w:r>
        <w:rPr>
          <w:rtl w:val="false"/>
        </w:rPr>
        <w:t xml:space="preserve">. Delete this option if you are not demanding a sum.</w:t>
      </w:r>
    </w:p>
    <w:p>
      <w:pPr>
        <w:bidi w:val="false"/>
        <w:ind w:start="360" w:hanging="0"/>
      </w:pPr>
      <w:r>
        <w:rPr>
          <w:rtl w:val="false"/>
        </w:rPr>
        <w:t xml:space="preserve">(b) Eviction or non-renewal: I demand vacant possession of </w:t>
      </w:r>
      <w:r>
        <w:rPr>
          <w:highlight w:val="yellow"/>
          <w:rtl w:val="false"/>
        </w:rPr>
        <w:t xml:space="preserve">[</w:t>
      </w:r>
      <w:r>
        <w:rPr>
          <w:highlight w:val="yellow"/>
          <w:rtl w:val="false"/>
        </w:rPr>
        <w:t xml:space="preserve">the premises</w:t>
      </w:r>
      <w:r>
        <w:rPr>
          <w:highlight w:val="yellow"/>
          <w:rtl w:val="false"/>
        </w:rPr>
        <w:t xml:space="preserve">]</w:t>
      </w:r>
      <w:r>
        <w:rPr>
          <w:rtl w:val="false"/>
        </w:rPr>
        <w:t xml:space="preserve"> / non-renewal of the </w:t>
      </w:r>
      <w:hyperlink w:history="1" r:id="rIdclds9rghivikh16jv9epg">
        <w:r>
          <w:rPr>
            <w:rStyle w:val="Hyperlink"/>
            <w:rtl w:val="false"/>
          </w:rPr>
          <w:t xml:space="preserve">lease</w:t>
        </w:r>
      </w:hyperlink>
      <w:r>
        <w:rPr>
          <w:rtl w:val="false"/>
        </w:rPr>
        <w:t xml:space="preserve"> ending on </w:t>
      </w:r>
      <w:r>
        <w:rPr>
          <w:highlight w:val="yellow"/>
          <w:rtl w:val="false"/>
        </w:rPr>
        <w:t xml:space="preserve">[</w:t>
      </w:r>
      <w:r>
        <w:rPr>
          <w:highlight w:val="yellow"/>
          <w:rtl w:val="false"/>
        </w:rPr>
        <w:t xml:space="preserve">date</w:t>
      </w:r>
      <w:r>
        <w:rPr>
          <w:highlight w:val="yellow"/>
          <w:rtl w:val="false"/>
        </w:rPr>
        <w:t xml:space="preserve">]</w:t>
      </w:r>
      <w:r>
        <w:rPr>
          <w:rtl w:val="false"/>
        </w:rPr>
        <w:t xml:space="preserve">. Delete this option if there is no lease.</w:t>
      </w:r>
    </w:p>
    <w:p>
      <w:pPr>
        <w:bidi w:val="false"/>
        <w:ind w:start="360" w:hanging="0"/>
      </w:pPr>
      <w:r>
        <w:rPr>
          <w:rtl w:val="false"/>
        </w:rPr>
        <w:t xml:space="preserve">(c) Notice before termination: I put the Addressee on notice to perform </w:t>
      </w:r>
      <w:r>
        <w:rPr>
          <w:highlight w:val="yellow"/>
          <w:rtl w:val="false"/>
        </w:rPr>
        <w:t xml:space="preserve">[</w:t>
      </w:r>
      <w:r>
        <w:rPr>
          <w:highlight w:val="yellow"/>
          <w:rtl w:val="false"/>
        </w:rPr>
        <w:t xml:space="preserve">the obligation</w:t>
      </w:r>
      <w:r>
        <w:rPr>
          <w:highlight w:val="yellow"/>
          <w:rtl w:val="false"/>
        </w:rPr>
        <w:t xml:space="preserve">]</w:t>
      </w:r>
      <w:r>
        <w:rPr>
          <w:rtl w:val="false"/>
        </w:rPr>
        <w:t xml:space="preserve"> before termination of </w:t>
      </w:r>
      <w:r>
        <w:rPr>
          <w:highlight w:val="yellow"/>
          <w:rtl w:val="false"/>
        </w:rPr>
        <w:t xml:space="preserve">[</w:t>
      </w:r>
      <w:r>
        <w:rPr>
          <w:highlight w:val="yellow"/>
          <w:rtl w:val="false"/>
        </w:rPr>
        <w:t xml:space="preserve">the contract</w:t>
      </w:r>
      <w:r>
        <w:rPr>
          <w:highlight w:val="yellow"/>
          <w:rtl w:val="false"/>
        </w:rPr>
        <w:t xml:space="preserve">]</w:t>
      </w:r>
      <w:r>
        <w:rPr>
          <w:rtl w:val="false"/>
        </w:rPr>
        <w:t xml:space="preserve">. Delete this option if you are not terminating for breach.</w:t>
      </w:r>
    </w:p>
    <w:p>
      <w:pPr>
        <w:bidi w:val="false"/>
        <w:ind w:start="360" w:hanging="0"/>
      </w:pPr>
      <w:r>
        <w:rPr>
          <w:rtl w:val="false"/>
        </w:rPr>
        <w:t xml:space="preserve">(d) Notice of ending: I give notice that </w:t>
      </w:r>
      <w:r>
        <w:rPr>
          <w:highlight w:val="yellow"/>
          <w:rtl w:val="false"/>
        </w:rPr>
        <w:t xml:space="preserve">[</w:t>
      </w:r>
      <w:r>
        <w:rPr>
          <w:highlight w:val="yellow"/>
          <w:rtl w:val="false"/>
        </w:rPr>
        <w:t xml:space="preserve">the contract</w:t>
      </w:r>
      <w:r>
        <w:rPr>
          <w:highlight w:val="yellow"/>
          <w:rtl w:val="false"/>
        </w:rPr>
        <w:t xml:space="preserve">]</w:t>
      </w:r>
      <w:r>
        <w:rPr>
          <w:rtl w:val="false"/>
        </w:rPr>
        <w:t xml:space="preserve"> ends on </w:t>
      </w:r>
      <w:r>
        <w:rPr>
          <w:highlight w:val="yellow"/>
          <w:rtl w:val="false"/>
        </w:rPr>
        <w:t xml:space="preserve">[</w:t>
      </w:r>
      <w:r>
        <w:rPr>
          <w:highlight w:val="yellow"/>
          <w:rtl w:val="false"/>
        </w:rPr>
        <w:t xml:space="preserve">date</w:t>
      </w:r>
      <w:r>
        <w:rPr>
          <w:highlight w:val="yellow"/>
          <w:rtl w:val="false"/>
        </w:rPr>
        <w:t xml:space="preserve">]</w:t>
      </w:r>
      <w:r>
        <w:rPr>
          <w:rtl w:val="false"/>
        </w:rPr>
        <w:t xml:space="preserve"> because </w:t>
      </w:r>
      <w:r>
        <w:rPr>
          <w:highlight w:val="yellow"/>
          <w:rtl w:val="false"/>
        </w:rPr>
        <w:t xml:space="preserve">[</w:t>
      </w:r>
      <w:r>
        <w:rPr>
          <w:highlight w:val="yellow"/>
          <w:rtl w:val="false"/>
        </w:rPr>
        <w:t xml:space="preserve">●</w:t>
      </w:r>
      <w:r>
        <w:rPr>
          <w:highlight w:val="yellow"/>
          <w:rtl w:val="false"/>
        </w:rPr>
        <w:t xml:space="preserve">]</w:t>
      </w:r>
      <w:r>
        <w:rPr>
          <w:rtl w:val="false"/>
        </w:rPr>
        <w:t xml:space="preserve">. Delete this option if you are not ending a contract.</w:t>
      </w:r>
    </w:p>
    <w:p>
      <w:pPr>
        <w:pStyle w:val="Heading1"/>
        <w:bidi w:val="false"/>
      </w:pPr>
      <w:commentRangeStart w:id="4"/>
      <w:r>
        <w:rPr>
          <w:rtl w:val="false"/>
        </w:rPr>
        <w:t xml:space="preserve">Clause 5: Time and how to perform</w:t>
      </w:r>
      <w:commentRangeEnd w:id="4"/>
      <w:r>
        <w:rPr>
          <w:rtl w:val="false"/>
        </w:rPr>
        <w:commentReference w:id="4"/>
      </w:r>
    </w:p>
    <w:p>
      <w:pPr>
        <w:bidi w:val="false"/>
      </w:pPr>
      <w:r>
        <w:rPr>
          <w:rtl w:val="false"/>
        </w:rPr>
        <w:t xml:space="preserve">I allow until </w:t>
      </w:r>
      <w:r>
        <w:rPr>
          <w:highlight w:val="yellow"/>
          <w:rtl w:val="false"/>
        </w:rPr>
        <w:t xml:space="preserve">[</w:t>
      </w:r>
      <w:r>
        <w:rPr>
          <w:highlight w:val="yellow"/>
          <w:rtl w:val="false"/>
        </w:rPr>
        <w:t xml:space="preserve">date</w:t>
      </w:r>
      <w:r>
        <w:rPr>
          <w:highlight w:val="yellow"/>
          <w:rtl w:val="false"/>
        </w:rPr>
        <w:t xml:space="preserve">]</w:t>
      </w:r>
      <w:r>
        <w:rPr>
          <w:rtl w:val="false"/>
        </w:rPr>
        <w:t xml:space="preserve">. Performance is by </w:t>
      </w:r>
      <w:r>
        <w:rPr>
          <w:highlight w:val="yellow"/>
          <w:rtl w:val="false"/>
        </w:rPr>
        <w:t xml:space="preserve">[</w:t>
      </w:r>
      <w:r>
        <w:rPr>
          <w:highlight w:val="yellow"/>
          <w:rtl w:val="false"/>
        </w:rPr>
        <w:t xml:space="preserve">transfer to account ● / delivery at ● / vacating the premises</w:t>
      </w:r>
      <w:r>
        <w:rPr>
          <w:highlight w:val="yellow"/>
          <w:rtl w:val="false"/>
        </w:rPr>
        <w:t xml:space="preserve">]</w:t>
      </w:r>
      <w:r>
        <w:rPr>
          <w:rtl w:val="false"/>
        </w:rPr>
        <w:t xml:space="preserve">.</w:t>
      </w:r>
    </w:p>
    <w:p>
      <w:pPr>
        <w:pStyle w:val="Heading1"/>
        <w:bidi w:val="false"/>
      </w:pPr>
      <w:commentRangeStart w:id="5"/>
      <w:r>
        <w:rPr>
          <w:rtl w:val="false"/>
        </w:rPr>
        <w:t xml:space="preserve">Clause 6: If there is no response</w:t>
      </w:r>
      <w:commentRangeEnd w:id="5"/>
      <w:r>
        <w:rPr>
          <w:rtl w:val="false"/>
        </w:rPr>
        <w:commentReference w:id="5"/>
      </w:r>
    </w:p>
    <w:p>
      <w:pPr>
        <w:bidi w:val="false"/>
      </w:pPr>
      <w:r>
        <w:rPr>
          <w:rtl w:val="false"/>
        </w:rPr>
        <w:t xml:space="preserve">If the time expires without performance, I will take the steps the law allows, including a claim for compensation and costs where those are available. The claim form is the </w:t>
      </w:r>
      <w:hyperlink w:history="1" r:id="rIdpugsfc1ftbx-8ylvesute">
        <w:r>
          <w:rPr>
            <w:rStyle w:val="Hyperlink"/>
            <w:rtl w:val="false"/>
          </w:rPr>
          <w:t xml:space="preserve">statement of claim</w:t>
        </w:r>
      </w:hyperlink>
      <w:r>
        <w:rPr>
          <w:rtl w:val="false"/>
        </w:rPr>
        <w:t xml:space="preserve">.</w:t>
      </w:r>
    </w:p>
    <w:p>
      <w:pPr>
        <w:pStyle w:val="Heading1"/>
        <w:bidi w:val="false"/>
      </w:pPr>
      <w:r>
        <w:rPr>
          <w:rtl w:val="false"/>
        </w:rPr>
        <w:t xml:space="preserve">Clause 7: Reservation of rights</w:t>
      </w:r>
    </w:p>
    <w:p>
      <w:pPr>
        <w:bidi w:val="false"/>
      </w:pPr>
      <w:r>
        <w:rPr>
          <w:rtl w:val="false"/>
        </w:rPr>
        <w:t xml:space="preserve">This notice does not waive a right, a time limit, a term, or a claim that it does not mention.</w:t>
      </w:r>
    </w:p>
    <w:p>
      <w:pPr>
        <w:pStyle w:val="Heading1"/>
        <w:bidi w:val="false"/>
      </w:pPr>
      <w:commentRangeStart w:id="6"/>
      <w:r>
        <w:rPr>
          <w:rtl w:val="false"/>
        </w:rPr>
        <w:t xml:space="preserve">Clause 8: How the notice is served</w:t>
      </w:r>
      <w:commentRangeEnd w:id="6"/>
      <w:r>
        <w:rPr>
          <w:rtl w:val="false"/>
        </w:rPr>
        <w:commentReference w:id="6"/>
      </w:r>
    </w:p>
    <w:p>
      <w:pPr>
        <w:bidi w:val="false"/>
        <w:ind w:start="360" w:hanging="0"/>
      </w:pPr>
      <w:r>
        <w:rPr>
          <w:rtl w:val="false"/>
        </w:rPr>
        <w:t xml:space="preserve">(a) UAE: through the notary.</w:t>
      </w:r>
    </w:p>
    <w:p>
      <w:pPr>
        <w:bidi w:val="false"/>
        <w:ind w:start="360" w:hanging="0"/>
      </w:pPr>
      <w:r>
        <w:rPr>
          <w:rtl w:val="false"/>
        </w:rPr>
        <w:t xml:space="preserve">(b) Bahrain: by a notice to the debtor, a registered letter with acknowledgement of receipt, an official paper that stands in place of the notice, or a method the parties agreed.</w:t>
      </w:r>
    </w:p>
    <w:p>
      <w:pPr>
        <w:bidi w:val="false"/>
        <w:ind w:start="360" w:hanging="0"/>
      </w:pPr>
      <w:r>
        <w:rPr>
          <w:rtl w:val="false"/>
        </w:rPr>
        <w:t xml:space="preserve">(c) Saudi Arabia: by the agreed method, or by a method the law prescribes for service, including filing the claim.</w:t>
      </w:r>
    </w:p>
    <w:p>
      <w:pPr>
        <w:bidi w:val="false"/>
        <w:ind w:start="360" w:hanging="0"/>
      </w:pPr>
      <w:r>
        <w:rPr>
          <w:rtl w:val="false"/>
        </w:rPr>
        <w:t xml:space="preserve">(d) A method named in the contract: </w:t>
      </w:r>
      <w:r>
        <w:rPr>
          <w:highlight w:val="yellow"/>
          <w:rtl w:val="false"/>
        </w:rPr>
        <w:t xml:space="preserve">[</w:t>
      </w:r>
      <w:r>
        <w:rPr>
          <w:highlight w:val="yellow"/>
          <w:rtl w:val="false"/>
        </w:rPr>
        <w:t xml:space="preserve">●</w:t>
      </w:r>
      <w:r>
        <w:rPr>
          <w:highlight w:val="yellow"/>
          <w:rtl w:val="false"/>
        </w:rPr>
        <w:t xml:space="preserve">]</w:t>
      </w:r>
      <w:r>
        <w:rPr>
          <w:rtl w:val="false"/>
        </w:rPr>
        <w:t xml:space="preserve">.</w:t>
      </w:r>
    </w:p>
    <w:p>
      <w:pPr>
        <w:pStyle w:val="Heading1"/>
        <w:bidi w:val="false"/>
      </w:pPr>
      <w:r>
        <w:rPr>
          <w:rtl w:val="false"/>
        </w:rPr>
        <w:t xml:space="preserve">Clause 9: Signature and attachments</w:t>
      </w:r>
    </w:p>
    <w:p>
      <w:pPr>
        <w:pBdr>
          <w:top w:val="single" w:color="888888" w:sz="6" w:space="6"/>
          <w:left w:val="single" w:color="888888" w:sz="6" w:space="6"/>
          <w:bottom w:val="single" w:color="888888" w:sz="6" w:space="6"/>
          <w:right w:val="single" w:color="888888" w:sz="6" w:space="6"/>
        </w:pBdr>
        <w:bidi w:val="false"/>
        <w:spacing w:after="120"/>
      </w:pPr>
      <w:r>
        <w:rPr>
          <w:b/>
          <w:bCs/>
          <w:rtl w:val="false"/>
        </w:rPr>
        <w:t xml:space="preserve">Notifying Party:</w:t>
      </w:r>
      <w:r>
        <w:rPr>
          <w:rtl w:val="false"/>
        </w:rPr>
        <w:t xml:space="preserve"> name </w:t>
      </w:r>
      <w:r>
        <w:rPr>
          <w:highlight w:val="yellow"/>
          <w:rtl w:val="false"/>
        </w:rPr>
        <w:t xml:space="preserve">[</w:t>
      </w:r>
      <w:r>
        <w:rPr>
          <w:highlight w:val="yellow"/>
          <w:rtl w:val="false"/>
        </w:rPr>
        <w:t xml:space="preserve">●</w:t>
      </w:r>
      <w:r>
        <w:rPr>
          <w:highlight w:val="yellow"/>
          <w:rtl w:val="false"/>
        </w:rPr>
        <w:t xml:space="preserve">]</w:t>
      </w:r>
      <w:r>
        <w:rPr>
          <w:rtl w:val="false"/>
        </w:rPr>
        <w:t xml:space="preserve"> · capacity </w:t>
      </w:r>
      <w:r>
        <w:rPr>
          <w:highlight w:val="yellow"/>
          <w:rtl w:val="false"/>
        </w:rPr>
        <w:t xml:space="preserve">[</w:t>
      </w:r>
      <w:r>
        <w:rPr>
          <w:highlight w:val="yellow"/>
          <w:rtl w:val="false"/>
        </w:rPr>
        <w:t xml:space="preserve">●</w:t>
      </w:r>
      <w:r>
        <w:rPr>
          <w:highlight w:val="yellow"/>
          <w:rtl w:val="false"/>
        </w:rPr>
        <w:t xml:space="preserve">]</w:t>
      </w:r>
      <w:r>
        <w:rPr>
          <w:rtl w:val="false"/>
        </w:rPr>
        <w:t xml:space="preserve"> · signature </w:t>
      </w:r>
      <w:r>
        <w:rPr>
          <w:highlight w:val="yellow"/>
          <w:rtl w:val="false"/>
        </w:rPr>
        <w:t xml:space="preserve">[</w:t>
      </w:r>
      <w:r>
        <w:rPr>
          <w:highlight w:val="yellow"/>
          <w:rtl w:val="false"/>
        </w:rPr>
        <w:t xml:space="preserve">●</w:t>
      </w:r>
      <w:r>
        <w:rPr>
          <w:highlight w:val="yellow"/>
          <w:rtl w:val="false"/>
        </w:rPr>
        <w:t xml:space="preserve">]</w:t>
      </w:r>
      <w:r>
        <w:rPr>
          <w:rtl w:val="false"/>
        </w:rPr>
        <w:t xml:space="preserve"> · date </w:t>
      </w:r>
      <w:r>
        <w:rPr>
          <w:highlight w:val="yellow"/>
          <w:rtl w:val="false"/>
        </w:rPr>
        <w:t xml:space="preserve">[</w:t>
      </w:r>
      <w:r>
        <w:rPr>
          <w:highlight w:val="yellow"/>
          <w:rtl w:val="false"/>
        </w:rPr>
        <w:t xml:space="preserve">●</w:t>
      </w:r>
      <w:r>
        <w:rPr>
          <w:highlight w:val="yellow"/>
          <w:rtl w:val="false"/>
        </w:rPr>
        <w:t xml:space="preserve">]</w:t>
      </w:r>
    </w:p>
    <w:p>
      <w:pPr>
        <w:pBdr>
          <w:top w:val="single" w:color="888888" w:sz="6" w:space="6"/>
          <w:left w:val="single" w:color="888888" w:sz="6" w:space="6"/>
          <w:bottom w:val="single" w:color="888888" w:sz="6" w:space="6"/>
          <w:right w:val="single" w:color="888888" w:sz="6" w:space="6"/>
        </w:pBdr>
        <w:bidi w:val="false"/>
        <w:spacing w:after="120"/>
      </w:pPr>
      <w:r>
        <w:rPr>
          <w:b/>
          <w:bCs/>
          <w:rtl w:val="false"/>
        </w:rPr>
        <w:t xml:space="preserve">Attachments:</w:t>
      </w:r>
      <w:r>
        <w:rPr>
          <w:rtl w:val="false"/>
        </w:rPr>
        <w:t xml:space="preserve"> as in Annex 1.</w:t>
      </w:r>
    </w:p>
    <w:p>
      <w:pPr>
        <w:pStyle w:val="Heading1"/>
        <w:pageBreakBefore/>
        <w:bidi w:val="false"/>
      </w:pPr>
      <w:r>
        <w:rPr>
          <w:rtl w:val="false"/>
        </w:rPr>
        <w:t xml:space="preserve">Notes for Saudi Arabia</w:t>
      </w:r>
    </w:p>
    <w:p>
      <w:pPr>
        <w:bidi w:val="false"/>
      </w:pPr>
      <w:r>
        <w:rPr>
          <w:rtl w:val="false"/>
        </w:rPr>
        <w:t xml:space="preserve">The terms here are formal notice of default and written notice. The Civil Transactions Law does not name the step a notarised legal notice.</w:t>
      </w:r>
      <w:r>
        <w:rPr>
          <w:rtl w:val="false"/>
        </w:rPr>
        <w:t xml:space="preserve"> [3][5]</w:t>
      </w:r>
    </w:p>
    <w:tbl>
      <w:tblPr>
        <w:bidiVisual w:val="off"/>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4753"/>
        <w:gridCol w:w="4753"/>
      </w:tblGrid>
      <w:tr>
        <w:trPr>
          <w:tblHeader/>
        </w:trPr>
        <w:tc>
          <w:tcPr>
            <w:shd w:fill="EDEDED" w:color="auto" w:val="clear"/>
            <w:tcMar>
              <w:top w:type="dxa" w:w="80"/>
              <w:left w:type="dxa" w:w="100"/>
              <w:bottom w:type="dxa" w:w="80"/>
              <w:right w:type="dxa" w:w="100"/>
            </w:tcMar>
          </w:tcPr>
          <w:p>
            <w:pPr>
              <w:bidi w:val="false"/>
              <w:spacing w:after="0"/>
            </w:pPr>
            <w:r>
              <w:rPr>
                <w:b/>
                <w:bCs/>
                <w:sz w:val="18"/>
                <w:szCs w:val="18"/>
                <w:rtl w:val="false"/>
              </w:rPr>
              <w:t xml:space="preserve">Point</w:t>
            </w:r>
          </w:p>
        </w:tc>
        <w:tc>
          <w:tcPr>
            <w:shd w:fill="EDEDED" w:color="auto" w:val="clear"/>
            <w:tcMar>
              <w:top w:type="dxa" w:w="80"/>
              <w:left w:type="dxa" w:w="100"/>
              <w:bottom w:type="dxa" w:w="80"/>
              <w:right w:type="dxa" w:w="100"/>
            </w:tcMar>
          </w:tcPr>
          <w:p>
            <w:pPr>
              <w:bidi w:val="false"/>
              <w:spacing w:after="0"/>
            </w:pPr>
            <w:r>
              <w:rPr>
                <w:b/>
                <w:bCs/>
                <w:sz w:val="18"/>
                <w:szCs w:val="18"/>
                <w:rtl w:val="false"/>
              </w:rPr>
              <w:t xml:space="preserve">Text</w:t>
            </w:r>
          </w:p>
        </w:tc>
      </w:tr>
      <w:tr>
        <w:trPr>
          <w:cantSplit/>
        </w:trPr>
        <w:tc>
          <w:tcPr>
            <w:tcMar>
              <w:top w:type="dxa" w:w="80"/>
              <w:left w:type="dxa" w:w="100"/>
              <w:bottom w:type="dxa" w:w="80"/>
              <w:right w:type="dxa" w:w="100"/>
            </w:tcMar>
          </w:tcPr>
          <w:p>
            <w:pPr>
              <w:bidi w:val="false"/>
              <w:spacing w:after="0"/>
            </w:pPr>
            <w:r>
              <w:rPr>
                <w:b w:val="false"/>
                <w:sz w:val="18"/>
                <w:szCs w:val="18"/>
                <w:rtl w:val="false"/>
              </w:rPr>
              <w:t xml:space="preserve">Notice of default</w:t>
            </w:r>
          </w:p>
        </w:tc>
        <w:tc>
          <w:tcPr>
            <w:tcMar>
              <w:top w:type="dxa" w:w="80"/>
              <w:left w:type="dxa" w:w="100"/>
              <w:bottom w:type="dxa" w:w="80"/>
              <w:right w:type="dxa" w:w="100"/>
            </w:tcMar>
          </w:tcPr>
          <w:p>
            <w:pPr>
              <w:bidi w:val="false"/>
              <w:spacing w:after="0"/>
            </w:pPr>
            <w:r>
              <w:rPr>
                <w:b w:val="false"/>
                <w:sz w:val="18"/>
                <w:szCs w:val="18"/>
                <w:rtl w:val="false"/>
              </w:rPr>
              <w:t xml:space="preserve">It may be given by any method the parties agreed or that the law prescribes for service, including filing the claim (Article 177).</w:t>
            </w:r>
            <w:r>
              <w:rPr>
                <w:b w:val="false"/>
                <w:sz w:val="18"/>
                <w:szCs w:val="18"/>
                <w:rtl w:val="false"/>
              </w:rPr>
              <w:t xml:space="preserve"> [3]</w:t>
            </w:r>
          </w:p>
        </w:tc>
      </w:tr>
      <w:tr>
        <w:trPr>
          <w:cantSplit/>
        </w:trPr>
        <w:tc>
          <w:tcPr>
            <w:tcMar>
              <w:top w:type="dxa" w:w="80"/>
              <w:left w:type="dxa" w:w="100"/>
              <w:bottom w:type="dxa" w:w="80"/>
              <w:right w:type="dxa" w:w="100"/>
            </w:tcMar>
          </w:tcPr>
          <w:p>
            <w:pPr>
              <w:bidi w:val="false"/>
              <w:spacing w:after="0"/>
            </w:pPr>
            <w:r>
              <w:rPr>
                <w:b w:val="false"/>
                <w:sz w:val="18"/>
                <w:szCs w:val="18"/>
                <w:rtl w:val="false"/>
              </w:rPr>
              <w:t xml:space="preserve">Termination</w:t>
            </w:r>
          </w:p>
        </w:tc>
        <w:tc>
          <w:tcPr>
            <w:tcMar>
              <w:top w:type="dxa" w:w="80"/>
              <w:left w:type="dxa" w:w="100"/>
              <w:bottom w:type="dxa" w:w="80"/>
              <w:right w:type="dxa" w:w="100"/>
            </w:tcMar>
          </w:tcPr>
          <w:p>
            <w:pPr>
              <w:bidi w:val="false"/>
              <w:spacing w:after="0"/>
            </w:pPr>
            <w:r>
              <w:rPr>
                <w:b w:val="false"/>
                <w:sz w:val="18"/>
                <w:szCs w:val="18"/>
                <w:rtl w:val="false"/>
              </w:rPr>
              <w:t xml:space="preserve">Termination for non-performance follows notice to the party in breach (Article 107).</w:t>
            </w:r>
            <w:r>
              <w:rPr>
                <w:b w:val="false"/>
                <w:sz w:val="18"/>
                <w:szCs w:val="18"/>
                <w:rtl w:val="false"/>
              </w:rPr>
              <w:t xml:space="preserve"> [3]</w:t>
            </w:r>
          </w:p>
        </w:tc>
      </w:tr>
      <w:tr>
        <w:trPr>
          <w:cantSplit/>
        </w:trPr>
        <w:tc>
          <w:tcPr>
            <w:tcMar>
              <w:top w:type="dxa" w:w="80"/>
              <w:left w:type="dxa" w:w="100"/>
              <w:bottom w:type="dxa" w:w="80"/>
              <w:right w:type="dxa" w:w="100"/>
            </w:tcMar>
          </w:tcPr>
          <w:p>
            <w:pPr>
              <w:bidi w:val="false"/>
              <w:spacing w:after="0"/>
            </w:pPr>
            <w:r>
              <w:rPr>
                <w:b w:val="false"/>
                <w:sz w:val="18"/>
                <w:szCs w:val="18"/>
                <w:rtl w:val="false"/>
              </w:rPr>
              <w:t xml:space="preserve">Termination condition</w:t>
            </w:r>
          </w:p>
        </w:tc>
        <w:tc>
          <w:tcPr>
            <w:tcMar>
              <w:top w:type="dxa" w:w="80"/>
              <w:left w:type="dxa" w:w="100"/>
              <w:bottom w:type="dxa" w:w="80"/>
              <w:right w:type="dxa" w:w="100"/>
            </w:tcMar>
          </w:tcPr>
          <w:p>
            <w:pPr>
              <w:bidi w:val="false"/>
              <w:spacing w:after="0"/>
            </w:pPr>
            <w:r>
              <w:rPr>
                <w:b w:val="false"/>
                <w:sz w:val="18"/>
                <w:szCs w:val="18"/>
                <w:rtl w:val="false"/>
              </w:rPr>
              <w:t xml:space="preserve">It does not dispense with notice unless the parties agree expressly (Article 108).</w:t>
            </w:r>
            <w:r>
              <w:rPr>
                <w:b w:val="false"/>
                <w:sz w:val="18"/>
                <w:szCs w:val="18"/>
                <w:rtl w:val="false"/>
              </w:rPr>
              <w:t xml:space="preserve"> [3]</w:t>
            </w:r>
          </w:p>
        </w:tc>
      </w:tr>
      <w:tr>
        <w:trPr>
          <w:cantSplit/>
        </w:trPr>
        <w:tc>
          <w:tcPr>
            <w:tcMar>
              <w:top w:type="dxa" w:w="80"/>
              <w:left w:type="dxa" w:w="100"/>
              <w:bottom w:type="dxa" w:w="80"/>
              <w:right w:type="dxa" w:w="100"/>
            </w:tcMar>
          </w:tcPr>
          <w:p>
            <w:pPr>
              <w:bidi w:val="false"/>
              <w:spacing w:after="0"/>
            </w:pPr>
            <w:r>
              <w:rPr>
                <w:b w:val="false"/>
                <w:sz w:val="18"/>
                <w:szCs w:val="18"/>
                <w:rtl w:val="false"/>
              </w:rPr>
              <w:t xml:space="preserve">Commercial claims</w:t>
            </w:r>
          </w:p>
        </w:tc>
        <w:tc>
          <w:tcPr>
            <w:tcMar>
              <w:top w:type="dxa" w:w="80"/>
              <w:left w:type="dxa" w:w="100"/>
              <w:bottom w:type="dxa" w:w="80"/>
              <w:right w:type="dxa" w:w="100"/>
            </w:tcMar>
          </w:tcPr>
          <w:p>
            <w:pPr>
              <w:bidi w:val="false"/>
              <w:spacing w:after="0"/>
            </w:pPr>
            <w:r>
              <w:rPr>
                <w:b w:val="false"/>
                <w:sz w:val="18"/>
                <w:szCs w:val="18"/>
                <w:rtl w:val="false"/>
              </w:rPr>
              <w:t xml:space="preserve">The Commercial Courts Law regulates notice before some commercial claims. This page states no article number.</w:t>
            </w:r>
            <w:r>
              <w:rPr>
                <w:b w:val="false"/>
                <w:sz w:val="18"/>
                <w:szCs w:val="18"/>
                <w:rtl w:val="false"/>
              </w:rPr>
              <w:t xml:space="preserve"> [5]</w:t>
            </w:r>
          </w:p>
        </w:tc>
      </w:tr>
    </w:tbl>
    <w:p>
      <w:pPr>
        <w:bidi w:val="false"/>
      </w:pPr>
    </w:p>
    <w:p>
      <w:pPr>
        <w:pStyle w:val="Heading1"/>
        <w:pageBreakBefore/>
        <w:bidi w:val="false"/>
      </w:pPr>
      <w:r>
        <w:rPr>
          <w:rtl w:val="false"/>
        </w:rPr>
        <w:t xml:space="preserve">Notes for the United Arab Emirates</w:t>
      </w:r>
    </w:p>
    <w:p>
      <w:pPr>
        <w:bidi w:val="false"/>
      </w:pPr>
      <w:r>
        <w:rPr>
          <w:rtl w:val="false"/>
        </w:rPr>
        <w:t xml:space="preserve">A legal notice is drawn up, notarised and served through the notary.</w:t>
      </w:r>
      <w:r>
        <w:rPr>
          <w:rtl w:val="false"/>
        </w:rPr>
        <w:t xml:space="preserve"> [1][2][4]</w:t>
      </w:r>
    </w:p>
    <w:tbl>
      <w:tblPr>
        <w:bidiVisual w:val="off"/>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4753"/>
        <w:gridCol w:w="4753"/>
      </w:tblGrid>
      <w:tr>
        <w:trPr>
          <w:tblHeader/>
        </w:trPr>
        <w:tc>
          <w:tcPr>
            <w:shd w:fill="EDEDED" w:color="auto" w:val="clear"/>
            <w:tcMar>
              <w:top w:type="dxa" w:w="80"/>
              <w:left w:type="dxa" w:w="100"/>
              <w:bottom w:type="dxa" w:w="80"/>
              <w:right w:type="dxa" w:w="100"/>
            </w:tcMar>
          </w:tcPr>
          <w:p>
            <w:pPr>
              <w:bidi w:val="false"/>
              <w:spacing w:after="0"/>
            </w:pPr>
            <w:r>
              <w:rPr>
                <w:b/>
                <w:bCs/>
                <w:sz w:val="18"/>
                <w:szCs w:val="18"/>
                <w:rtl w:val="false"/>
              </w:rPr>
              <w:t xml:space="preserve">Point</w:t>
            </w:r>
          </w:p>
        </w:tc>
        <w:tc>
          <w:tcPr>
            <w:shd w:fill="EDEDED" w:color="auto" w:val="clear"/>
            <w:tcMar>
              <w:top w:type="dxa" w:w="80"/>
              <w:left w:type="dxa" w:w="100"/>
              <w:bottom w:type="dxa" w:w="80"/>
              <w:right w:type="dxa" w:w="100"/>
            </w:tcMar>
          </w:tcPr>
          <w:p>
            <w:pPr>
              <w:bidi w:val="false"/>
              <w:spacing w:after="0"/>
            </w:pPr>
            <w:r>
              <w:rPr>
                <w:b/>
                <w:bCs/>
                <w:sz w:val="18"/>
                <w:szCs w:val="18"/>
                <w:rtl w:val="false"/>
              </w:rPr>
              <w:t xml:space="preserve">Text</w:t>
            </w:r>
          </w:p>
        </w:tc>
      </w:tr>
      <w:tr>
        <w:trPr>
          <w:cantSplit/>
        </w:trPr>
        <w:tc>
          <w:tcPr>
            <w:tcMar>
              <w:top w:type="dxa" w:w="80"/>
              <w:left w:type="dxa" w:w="100"/>
              <w:bottom w:type="dxa" w:w="80"/>
              <w:right w:type="dxa" w:w="100"/>
            </w:tcMar>
          </w:tcPr>
          <w:p>
            <w:pPr>
              <w:bidi w:val="false"/>
              <w:spacing w:after="0"/>
            </w:pPr>
            <w:r>
              <w:rPr>
                <w:b w:val="false"/>
                <w:sz w:val="18"/>
                <w:szCs w:val="18"/>
                <w:rtl w:val="false"/>
              </w:rPr>
              <w:t xml:space="preserve">Instrument</w:t>
            </w:r>
          </w:p>
        </w:tc>
        <w:tc>
          <w:tcPr>
            <w:tcMar>
              <w:top w:type="dxa" w:w="80"/>
              <w:left w:type="dxa" w:w="100"/>
              <w:bottom w:type="dxa" w:w="80"/>
              <w:right w:type="dxa" w:w="100"/>
            </w:tcMar>
          </w:tcPr>
          <w:p>
            <w:pPr>
              <w:bidi w:val="false"/>
              <w:spacing w:after="0"/>
            </w:pPr>
            <w:r>
              <w:rPr>
                <w:b w:val="false"/>
                <w:sz w:val="18"/>
                <w:szCs w:val="18"/>
                <w:rtl w:val="false"/>
              </w:rPr>
              <w:t xml:space="preserve">The definition covers every notification or warning a notary draws up, notarises, or serves (Article 1 of Decree-Law No. 20 of 2022).</w:t>
            </w:r>
            <w:r>
              <w:rPr>
                <w:b w:val="false"/>
                <w:sz w:val="18"/>
                <w:szCs w:val="18"/>
                <w:rtl w:val="false"/>
              </w:rPr>
              <w:t xml:space="preserve"> [1]</w:t>
            </w:r>
          </w:p>
        </w:tc>
      </w:tr>
      <w:tr>
        <w:trPr>
          <w:cantSplit/>
        </w:trPr>
        <w:tc>
          <w:tcPr>
            <w:tcMar>
              <w:top w:type="dxa" w:w="80"/>
              <w:left w:type="dxa" w:w="100"/>
              <w:bottom w:type="dxa" w:w="80"/>
              <w:right w:type="dxa" w:w="100"/>
            </w:tcMar>
          </w:tcPr>
          <w:p>
            <w:pPr>
              <w:bidi w:val="false"/>
              <w:spacing w:after="0"/>
            </w:pPr>
            <w:r>
              <w:rPr>
                <w:b w:val="false"/>
                <w:sz w:val="18"/>
                <w:szCs w:val="18"/>
                <w:rtl w:val="false"/>
              </w:rPr>
              <w:t xml:space="preserve">Commercial transactions</w:t>
            </w:r>
          </w:p>
        </w:tc>
        <w:tc>
          <w:tcPr>
            <w:tcMar>
              <w:top w:type="dxa" w:w="80"/>
              <w:left w:type="dxa" w:w="100"/>
              <w:bottom w:type="dxa" w:w="80"/>
              <w:right w:type="dxa" w:w="100"/>
            </w:tcMar>
          </w:tcPr>
          <w:p>
            <w:pPr>
              <w:bidi w:val="false"/>
              <w:spacing w:after="0"/>
            </w:pPr>
            <w:r>
              <w:rPr>
                <w:b w:val="false"/>
                <w:sz w:val="18"/>
                <w:szCs w:val="18"/>
                <w:rtl w:val="false"/>
              </w:rPr>
              <w:t xml:space="preserve">Service through a notary, registered post, or electronic means, under Decree-Law No. 50 of 2022. No article number is stated.</w:t>
            </w:r>
            <w:r>
              <w:rPr>
                <w:b w:val="false"/>
                <w:sz w:val="18"/>
                <w:szCs w:val="18"/>
                <w:rtl w:val="false"/>
              </w:rPr>
              <w:t xml:space="preserve"> [2]</w:t>
            </w:r>
          </w:p>
        </w:tc>
      </w:tr>
      <w:tr>
        <w:trPr>
          <w:cantSplit/>
        </w:trPr>
        <w:tc>
          <w:tcPr>
            <w:tcMar>
              <w:top w:type="dxa" w:w="80"/>
              <w:left w:type="dxa" w:w="100"/>
              <w:bottom w:type="dxa" w:w="80"/>
              <w:right w:type="dxa" w:w="100"/>
            </w:tcMar>
          </w:tcPr>
          <w:p>
            <w:pPr>
              <w:bidi w:val="false"/>
              <w:spacing w:after="0"/>
            </w:pPr>
            <w:r>
              <w:rPr>
                <w:b w:val="false"/>
                <w:sz w:val="18"/>
                <w:szCs w:val="18"/>
                <w:rtl w:val="false"/>
              </w:rPr>
              <w:t xml:space="preserve">Civil law</w:t>
            </w:r>
          </w:p>
        </w:tc>
        <w:tc>
          <w:tcPr>
            <w:tcMar>
              <w:top w:type="dxa" w:w="80"/>
              <w:left w:type="dxa" w:w="100"/>
              <w:bottom w:type="dxa" w:w="80"/>
              <w:right w:type="dxa" w:w="100"/>
            </w:tcMar>
          </w:tcPr>
          <w:p>
            <w:pPr>
              <w:bidi w:val="false"/>
              <w:spacing w:after="0"/>
            </w:pPr>
            <w:r>
              <w:rPr>
                <w:b w:val="false"/>
                <w:sz w:val="18"/>
                <w:szCs w:val="18"/>
                <w:rtl w:val="false"/>
              </w:rPr>
              <w:t xml:space="preserve">Decree-Law No. 25 of 2025 is in force on 1 June 2026. Article 2 of the issuing decree-law repeals Law No. 5 of 1985. This page states no default-notice article of the new law.</w:t>
            </w:r>
            <w:r>
              <w:rPr>
                <w:b w:val="false"/>
                <w:sz w:val="18"/>
                <w:szCs w:val="18"/>
                <w:rtl w:val="false"/>
              </w:rPr>
              <w:t xml:space="preserve"> [4]</w:t>
            </w:r>
          </w:p>
        </w:tc>
      </w:tr>
    </w:tbl>
    <w:p>
      <w:pPr>
        <w:bidi w:val="false"/>
      </w:pPr>
    </w:p>
    <w:p>
      <w:pPr>
        <w:pStyle w:val="Heading1"/>
        <w:pageBreakBefore/>
        <w:bidi w:val="false"/>
      </w:pPr>
      <w:r>
        <w:rPr>
          <w:rtl w:val="false"/>
        </w:rPr>
        <w:t xml:space="preserve">Notes for Bahrain</w:t>
      </w:r>
    </w:p>
    <w:p>
      <w:pPr>
        <w:bidi w:val="false"/>
      </w:pPr>
      <w:r>
        <w:rPr>
          <w:rtl w:val="false"/>
        </w:rPr>
        <w:t xml:space="preserve">Notice of default under the Civil Code, Decree-Law No. 19 of 2001.</w:t>
      </w:r>
      <w:r>
        <w:rPr>
          <w:rtl w:val="false"/>
        </w:rPr>
        <w:t xml:space="preserve"> [6]</w:t>
      </w:r>
    </w:p>
    <w:tbl>
      <w:tblPr>
        <w:bidiVisual w:val="off"/>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4753"/>
        <w:gridCol w:w="4753"/>
      </w:tblGrid>
      <w:tr>
        <w:trPr>
          <w:tblHeader/>
        </w:trPr>
        <w:tc>
          <w:tcPr>
            <w:shd w:fill="EDEDED" w:color="auto" w:val="clear"/>
            <w:tcMar>
              <w:top w:type="dxa" w:w="80"/>
              <w:left w:type="dxa" w:w="100"/>
              <w:bottom w:type="dxa" w:w="80"/>
              <w:right w:type="dxa" w:w="100"/>
            </w:tcMar>
          </w:tcPr>
          <w:p>
            <w:pPr>
              <w:bidi w:val="false"/>
              <w:spacing w:after="0"/>
            </w:pPr>
            <w:r>
              <w:rPr>
                <w:b/>
                <w:bCs/>
                <w:sz w:val="18"/>
                <w:szCs w:val="18"/>
                <w:rtl w:val="false"/>
              </w:rPr>
              <w:t xml:space="preserve">Point</w:t>
            </w:r>
          </w:p>
        </w:tc>
        <w:tc>
          <w:tcPr>
            <w:shd w:fill="EDEDED" w:color="auto" w:val="clear"/>
            <w:tcMar>
              <w:top w:type="dxa" w:w="80"/>
              <w:left w:type="dxa" w:w="100"/>
              <w:bottom w:type="dxa" w:w="80"/>
              <w:right w:type="dxa" w:w="100"/>
            </w:tcMar>
          </w:tcPr>
          <w:p>
            <w:pPr>
              <w:bidi w:val="false"/>
              <w:spacing w:after="0"/>
            </w:pPr>
            <w:r>
              <w:rPr>
                <w:b/>
                <w:bCs/>
                <w:sz w:val="18"/>
                <w:szCs w:val="18"/>
                <w:rtl w:val="false"/>
              </w:rPr>
              <w:t xml:space="preserve">Text</w:t>
            </w:r>
          </w:p>
        </w:tc>
      </w:tr>
      <w:tr>
        <w:trPr>
          <w:cantSplit/>
        </w:trPr>
        <w:tc>
          <w:tcPr>
            <w:tcMar>
              <w:top w:type="dxa" w:w="80"/>
              <w:left w:type="dxa" w:w="100"/>
              <w:bottom w:type="dxa" w:w="80"/>
              <w:right w:type="dxa" w:w="100"/>
            </w:tcMar>
          </w:tcPr>
          <w:p>
            <w:pPr>
              <w:bidi w:val="false"/>
              <w:spacing w:after="0"/>
            </w:pPr>
            <w:r>
              <w:rPr>
                <w:b w:val="false"/>
                <w:sz w:val="18"/>
                <w:szCs w:val="18"/>
                <w:rtl w:val="false"/>
              </w:rPr>
              <w:t xml:space="preserve">Notice</w:t>
            </w:r>
          </w:p>
        </w:tc>
        <w:tc>
          <w:tcPr>
            <w:tcMar>
              <w:top w:type="dxa" w:w="80"/>
              <w:left w:type="dxa" w:w="100"/>
              <w:bottom w:type="dxa" w:w="80"/>
              <w:right w:type="dxa" w:w="100"/>
            </w:tcMar>
          </w:tcPr>
          <w:p>
            <w:pPr>
              <w:bidi w:val="false"/>
              <w:spacing w:after="0"/>
            </w:pPr>
            <w:r>
              <w:rPr>
                <w:b w:val="false"/>
                <w:sz w:val="18"/>
                <w:szCs w:val="18"/>
                <w:rtl w:val="false"/>
              </w:rPr>
              <w:t xml:space="preserve">By a notice to the debtor, a registered letter with acknowledgement of receipt, an official paper in place of the notice, or any other method the parties agree (Article 221).</w:t>
            </w:r>
            <w:r>
              <w:rPr>
                <w:b w:val="false"/>
                <w:sz w:val="18"/>
                <w:szCs w:val="18"/>
                <w:rtl w:val="false"/>
              </w:rPr>
              <w:t xml:space="preserve"> [6]</w:t>
            </w:r>
          </w:p>
        </w:tc>
      </w:tr>
    </w:tbl>
    <w:p>
      <w:pPr>
        <w:bidi w:val="false"/>
      </w:pPr>
    </w:p>
    <w:p>
      <w:pPr>
        <w:pStyle w:val="Heading1"/>
        <w:bidi w:val="false"/>
      </w:pPr>
      <w:r>
        <w:rPr>
          <w:rtl w:val="false"/>
        </w:rPr>
        <w:t xml:space="preserve">Qatar, Kuwait and Oman</w:t>
      </w:r>
    </w:p>
    <w:p>
      <w:pPr>
        <w:pStyle w:val="ListParagraph"/>
        <w:numPr>
          <w:ilvl w:val="0"/>
          <w:numId w:val="2"/>
        </w:numPr>
        <w:bidi w:val="false"/>
      </w:pPr>
      <w:r>
        <w:rPr>
          <w:rtl w:val="false"/>
        </w:rPr>
        <w:t xml:space="preserve">Qatar: default-notice rules in the Civil Law were not checked for this page. Read them with a Qatari lawyer.</w:t>
      </w:r>
    </w:p>
    <w:p>
      <w:pPr>
        <w:pStyle w:val="ListParagraph"/>
        <w:numPr>
          <w:ilvl w:val="0"/>
          <w:numId w:val="2"/>
        </w:numPr>
        <w:bidi w:val="false"/>
      </w:pPr>
      <w:r>
        <w:rPr>
          <w:rtl w:val="false"/>
        </w:rPr>
        <w:t xml:space="preserve">Kuwait: articles of the Civil Code were not checked. Read them with a Kuwaiti lawyer.</w:t>
      </w:r>
    </w:p>
    <w:p>
      <w:pPr>
        <w:pStyle w:val="ListParagraph"/>
        <w:numPr>
          <w:ilvl w:val="0"/>
          <w:numId w:val="2"/>
        </w:numPr>
        <w:bidi w:val="false"/>
      </w:pPr>
      <w:r>
        <w:rPr>
          <w:rtl w:val="false"/>
        </w:rPr>
        <w:t xml:space="preserve">Oman: the default-notice article of the Civil Transactions Law was not verified. Read it with an Omani lawyer.</w:t>
      </w:r>
    </w:p>
    <w:p>
      <w:pPr>
        <w:pStyle w:val="Heading1"/>
        <w:pageBreakBefore/>
        <w:bidi w:val="false"/>
      </w:pPr>
      <w:r>
        <w:rPr>
          <w:rtl w:val="false"/>
        </w:rPr>
        <w:t xml:space="preserve">Annex 1: Attachments</w:t>
      </w:r>
    </w:p>
    <w:p>
      <w:pPr>
        <w:bidi w:val="false"/>
      </w:pPr>
      <w:r>
        <w:rPr>
          <w:rtl w:val="false"/>
        </w:rPr>
        <w:t xml:space="preserve">Attach the instrument named in clause 2, not an undescribed bundle.</w:t>
      </w:r>
    </w:p>
    <w:tbl>
      <w:tblPr>
        <w:bidiVisual w:val="off"/>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3169"/>
        <w:gridCol w:w="3169"/>
        <w:gridCol w:w="3169"/>
      </w:tblGrid>
      <w:tr>
        <w:trPr>
          <w:tblHeader/>
        </w:trPr>
        <w:tc>
          <w:tcPr>
            <w:shd w:fill="EDEDED" w:color="auto" w:val="clear"/>
            <w:tcMar>
              <w:top w:type="dxa" w:w="80"/>
              <w:left w:type="dxa" w:w="100"/>
              <w:bottom w:type="dxa" w:w="80"/>
              <w:right w:type="dxa" w:w="100"/>
            </w:tcMar>
          </w:tcPr>
          <w:p>
            <w:pPr>
              <w:bidi w:val="false"/>
              <w:spacing w:after="0"/>
            </w:pPr>
            <w:r>
              <w:rPr>
                <w:b/>
                <w:bCs/>
                <w:sz w:val="18"/>
                <w:szCs w:val="18"/>
                <w:rtl w:val="false"/>
              </w:rPr>
              <w:t xml:space="preserve">No.</w:t>
            </w:r>
          </w:p>
        </w:tc>
        <w:tc>
          <w:tcPr>
            <w:shd w:fill="EDEDED" w:color="auto" w:val="clear"/>
            <w:tcMar>
              <w:top w:type="dxa" w:w="80"/>
              <w:left w:type="dxa" w:w="100"/>
              <w:bottom w:type="dxa" w:w="80"/>
              <w:right w:type="dxa" w:w="100"/>
            </w:tcMar>
          </w:tcPr>
          <w:p>
            <w:pPr>
              <w:bidi w:val="false"/>
              <w:spacing w:after="0"/>
            </w:pPr>
            <w:r>
              <w:rPr>
                <w:b/>
                <w:bCs/>
                <w:sz w:val="18"/>
                <w:szCs w:val="18"/>
                <w:rtl w:val="false"/>
              </w:rPr>
              <w:t xml:space="preserve">Description</w:t>
            </w:r>
          </w:p>
        </w:tc>
        <w:tc>
          <w:tcPr>
            <w:shd w:fill="EDEDED" w:color="auto" w:val="clear"/>
            <w:tcMar>
              <w:top w:type="dxa" w:w="80"/>
              <w:left w:type="dxa" w:w="100"/>
              <w:bottom w:type="dxa" w:w="80"/>
              <w:right w:type="dxa" w:w="100"/>
            </w:tcMar>
          </w:tcPr>
          <w:p>
            <w:pPr>
              <w:bidi w:val="false"/>
              <w:spacing w:after="0"/>
            </w:pPr>
            <w:r>
              <w:rPr>
                <w:b/>
                <w:bCs/>
                <w:sz w:val="18"/>
                <w:szCs w:val="18"/>
                <w:rtl w:val="false"/>
              </w:rPr>
              <w:t xml:space="preserve">Type</w:t>
            </w:r>
          </w:p>
        </w:tc>
      </w:tr>
      <w:tr>
        <w:trPr>
          <w:cantSplit/>
        </w:trPr>
        <w:tc>
          <w:tcPr>
            <w:tcMar>
              <w:top w:type="dxa" w:w="80"/>
              <w:left w:type="dxa" w:w="100"/>
              <w:bottom w:type="dxa" w:w="80"/>
              <w:right w:type="dxa" w:w="100"/>
            </w:tcMar>
          </w:tcPr>
          <w:p>
            <w:pPr>
              <w:bidi w:val="false"/>
              <w:spacing w:after="0"/>
            </w:pPr>
            <w:r>
              <w:rPr>
                <w:b w:val="false"/>
                <w:sz w:val="18"/>
                <w:szCs w:val="18"/>
                <w:rtl w:val="false"/>
              </w:rPr>
              <w:t xml:space="preserve">1</w:t>
            </w:r>
          </w:p>
        </w:tc>
        <w:tc>
          <w:tcPr>
            <w:tcMar>
              <w:top w:type="dxa" w:w="80"/>
              <w:left w:type="dxa" w:w="100"/>
              <w:bottom w:type="dxa" w:w="80"/>
              <w:right w:type="dxa" w:w="100"/>
            </w:tcMar>
          </w:tcPr>
          <w:p>
            <w:pPr>
              <w:bidi w:val="false"/>
              <w:spacing w:after="0"/>
            </w:pPr>
            <w:r>
              <w:rPr>
                <w:b w:val="false"/>
                <w:sz w:val="18"/>
                <w:szCs w:val="18"/>
                <w:highlight w:val="yellow"/>
                <w:rtl w:val="false"/>
              </w:rPr>
              <w:t xml:space="preserve">[</w:t>
            </w:r>
            <w:r>
              <w:rPr>
                <w:b w:val="false"/>
                <w:sz w:val="18"/>
                <w:szCs w:val="18"/>
                <w:highlight w:val="yellow"/>
                <w:rtl w:val="false"/>
              </w:rPr>
              <w:t xml:space="preserve">Description</w:t>
            </w:r>
            <w:r>
              <w:rPr>
                <w:b w:val="false"/>
                <w:sz w:val="18"/>
                <w:szCs w:val="18"/>
                <w:highlight w:val="yellow"/>
                <w:rtl w:val="false"/>
              </w:rPr>
              <w:t xml:space="preserve">]</w:t>
            </w:r>
          </w:p>
        </w:tc>
        <w:tc>
          <w:tcPr>
            <w:tcMar>
              <w:top w:type="dxa" w:w="80"/>
              <w:left w:type="dxa" w:w="100"/>
              <w:bottom w:type="dxa" w:w="80"/>
              <w:right w:type="dxa" w:w="100"/>
            </w:tcMar>
          </w:tcPr>
          <w:p>
            <w:pPr>
              <w:bidi w:val="false"/>
              <w:spacing w:after="0"/>
            </w:pPr>
            <w:r>
              <w:rPr>
                <w:b w:val="false"/>
                <w:sz w:val="18"/>
                <w:szCs w:val="18"/>
                <w:highlight w:val="yellow"/>
                <w:rtl w:val="false"/>
              </w:rPr>
              <w:t xml:space="preserve">[</w:t>
            </w:r>
            <w:r>
              <w:rPr>
                <w:b w:val="false"/>
                <w:sz w:val="18"/>
                <w:szCs w:val="18"/>
                <w:highlight w:val="yellow"/>
                <w:rtl w:val="false"/>
              </w:rPr>
              <w:t xml:space="preserve">Contract / invoice / promissory note / judgment</w:t>
            </w:r>
            <w:r>
              <w:rPr>
                <w:b w:val="false"/>
                <w:sz w:val="18"/>
                <w:szCs w:val="18"/>
                <w:highlight w:val="yellow"/>
                <w:rtl w:val="false"/>
              </w:rPr>
              <w:t xml:space="preserve">]</w:t>
            </w:r>
          </w:p>
        </w:tc>
      </w:tr>
      <w:tr>
        <w:trPr>
          <w:cantSplit/>
        </w:trPr>
        <w:tc>
          <w:tcPr>
            <w:tcMar>
              <w:top w:type="dxa" w:w="80"/>
              <w:left w:type="dxa" w:w="100"/>
              <w:bottom w:type="dxa" w:w="80"/>
              <w:right w:type="dxa" w:w="100"/>
            </w:tcMar>
          </w:tcPr>
          <w:p>
            <w:pPr>
              <w:bidi w:val="false"/>
              <w:spacing w:after="0"/>
            </w:pPr>
            <w:r>
              <w:rPr>
                <w:b w:val="false"/>
                <w:sz w:val="18"/>
                <w:szCs w:val="18"/>
                <w:rtl w:val="false"/>
              </w:rPr>
              <w:t xml:space="preserve">2</w:t>
            </w:r>
          </w:p>
        </w:tc>
        <w:tc>
          <w:tcPr>
            <w:tcMar>
              <w:top w:type="dxa" w:w="80"/>
              <w:left w:type="dxa" w:w="100"/>
              <w:bottom w:type="dxa" w:w="80"/>
              <w:right w:type="dxa" w:w="100"/>
            </w:tcMar>
          </w:tcPr>
          <w:p>
            <w:pPr>
              <w:bidi w:val="false"/>
              <w:spacing w:after="0"/>
            </w:pPr>
            <w:r>
              <w:rPr>
                <w:b w:val="false"/>
                <w:sz w:val="18"/>
                <w:szCs w:val="18"/>
                <w:highlight w:val="yellow"/>
                <w:rtl w:val="false"/>
              </w:rPr>
              <w:t xml:space="preserve">[</w:t>
            </w:r>
            <w:r>
              <w:rPr>
                <w:b w:val="false"/>
                <w:sz w:val="18"/>
                <w:szCs w:val="18"/>
                <w:highlight w:val="yellow"/>
                <w:rtl w:val="false"/>
              </w:rPr>
              <w:t xml:space="preserve">●</w:t>
            </w:r>
            <w:r>
              <w:rPr>
                <w:b w:val="false"/>
                <w:sz w:val="18"/>
                <w:szCs w:val="18"/>
                <w:highlight w:val="yellow"/>
                <w:rtl w:val="false"/>
              </w:rPr>
              <w:t xml:space="preserve">]</w:t>
            </w:r>
          </w:p>
        </w:tc>
        <w:tc>
          <w:tcPr>
            <w:tcMar>
              <w:top w:type="dxa" w:w="80"/>
              <w:left w:type="dxa" w:w="100"/>
              <w:bottom w:type="dxa" w:w="80"/>
              <w:right w:type="dxa" w:w="100"/>
            </w:tcMar>
          </w:tcPr>
          <w:p>
            <w:pPr>
              <w:bidi w:val="false"/>
              <w:spacing w:after="0"/>
            </w:pPr>
            <w:r>
              <w:rPr>
                <w:b w:val="false"/>
                <w:sz w:val="18"/>
                <w:szCs w:val="18"/>
                <w:highlight w:val="yellow"/>
                <w:rtl w:val="false"/>
              </w:rPr>
              <w:t xml:space="preserve">[</w:t>
            </w:r>
            <w:r>
              <w:rPr>
                <w:b w:val="false"/>
                <w:sz w:val="18"/>
                <w:szCs w:val="18"/>
                <w:highlight w:val="yellow"/>
                <w:rtl w:val="false"/>
              </w:rPr>
              <w:t xml:space="preserve">●</w:t>
            </w:r>
            <w:r>
              <w:rPr>
                <w:b w:val="false"/>
                <w:sz w:val="18"/>
                <w:szCs w:val="18"/>
                <w:highlight w:val="yellow"/>
                <w:rtl w:val="false"/>
              </w:rPr>
              <w:t xml:space="preserve">]</w:t>
            </w:r>
          </w:p>
        </w:tc>
      </w:tr>
      <w:tr>
        <w:trPr>
          <w:cantSplit/>
        </w:trPr>
        <w:tc>
          <w:tcPr>
            <w:tcMar>
              <w:top w:type="dxa" w:w="80"/>
              <w:left w:type="dxa" w:w="100"/>
              <w:bottom w:type="dxa" w:w="80"/>
              <w:right w:type="dxa" w:w="100"/>
            </w:tcMar>
          </w:tcPr>
          <w:p>
            <w:pPr>
              <w:bidi w:val="false"/>
              <w:spacing w:after="0"/>
            </w:pPr>
            <w:r>
              <w:rPr>
                <w:b w:val="false"/>
                <w:sz w:val="18"/>
                <w:szCs w:val="18"/>
                <w:rtl w:val="false"/>
              </w:rPr>
              <w:t xml:space="preserve">3</w:t>
            </w:r>
          </w:p>
        </w:tc>
        <w:tc>
          <w:tcPr>
            <w:tcMar>
              <w:top w:type="dxa" w:w="80"/>
              <w:left w:type="dxa" w:w="100"/>
              <w:bottom w:type="dxa" w:w="80"/>
              <w:right w:type="dxa" w:w="100"/>
            </w:tcMar>
          </w:tcPr>
          <w:p>
            <w:pPr>
              <w:bidi w:val="false"/>
              <w:spacing w:after="0"/>
            </w:pPr>
            <w:r>
              <w:rPr>
                <w:b w:val="false"/>
                <w:sz w:val="18"/>
                <w:szCs w:val="18"/>
                <w:highlight w:val="yellow"/>
                <w:rtl w:val="false"/>
              </w:rPr>
              <w:t xml:space="preserve">[</w:t>
            </w:r>
            <w:r>
              <w:rPr>
                <w:b w:val="false"/>
                <w:sz w:val="18"/>
                <w:szCs w:val="18"/>
                <w:highlight w:val="yellow"/>
                <w:rtl w:val="false"/>
              </w:rPr>
              <w:t xml:space="preserve">●</w:t>
            </w:r>
            <w:r>
              <w:rPr>
                <w:b w:val="false"/>
                <w:sz w:val="18"/>
                <w:szCs w:val="18"/>
                <w:highlight w:val="yellow"/>
                <w:rtl w:val="false"/>
              </w:rPr>
              <w:t xml:space="preserve">]</w:t>
            </w:r>
          </w:p>
        </w:tc>
        <w:tc>
          <w:tcPr>
            <w:tcMar>
              <w:top w:type="dxa" w:w="80"/>
              <w:left w:type="dxa" w:w="100"/>
              <w:bottom w:type="dxa" w:w="80"/>
              <w:right w:type="dxa" w:w="100"/>
            </w:tcMar>
          </w:tcPr>
          <w:p>
            <w:pPr>
              <w:bidi w:val="false"/>
              <w:spacing w:after="0"/>
            </w:pPr>
            <w:r>
              <w:rPr>
                <w:b w:val="false"/>
                <w:sz w:val="18"/>
                <w:szCs w:val="18"/>
                <w:highlight w:val="yellow"/>
                <w:rtl w:val="false"/>
              </w:rPr>
              <w:t xml:space="preserve">[</w:t>
            </w:r>
            <w:r>
              <w:rPr>
                <w:b w:val="false"/>
                <w:sz w:val="18"/>
                <w:szCs w:val="18"/>
                <w:highlight w:val="yellow"/>
                <w:rtl w:val="false"/>
              </w:rPr>
              <w:t xml:space="preserve">●</w:t>
            </w:r>
            <w:r>
              <w:rPr>
                <w:b w:val="false"/>
                <w:sz w:val="18"/>
                <w:szCs w:val="18"/>
                <w:highlight w:val="yellow"/>
                <w:rtl w:val="false"/>
              </w:rPr>
              <w:t xml:space="preserve">]</w:t>
            </w:r>
          </w:p>
        </w:tc>
      </w:tr>
    </w:tbl>
    <w:p>
      <w:pPr>
        <w:bidi w:val="false"/>
      </w:pPr>
    </w:p>
    <w:p>
      <w:pPr>
        <w:pStyle w:val="Heading1"/>
        <w:pageBreakBefore/>
        <w:bidi w:val="false"/>
      </w:pPr>
      <w:r>
        <w:rPr>
          <w:rtl w:val="false"/>
        </w:rPr>
        <w:t xml:space="preserve">About this template</w:t>
      </w:r>
    </w:p>
    <w:p>
      <w:pPr>
        <w:bidi w:val="false"/>
      </w:pPr>
      <w:r>
        <w:rPr>
          <w:rtl w:val="false"/>
        </w:rPr>
        <w:t xml:space="preserve">This is a template, not legal advice. It does not create a lawyer–client relationship. Court rules, regulator guidance and laws change; check the official sources linked and have the contract reviewed by qualified counsel in each relevant jurisdiction. Last reviewed: 22 October 2026. Have it reviewed by a lawyer licensed in your jurisdiction before use. Where an official form or platform is mandatory, it prevails.</w:t>
      </w:r>
    </w:p>
    <w:p>
      <w:pPr>
        <w:bidi w:val="false"/>
      </w:pPr>
      <w:r>
        <w:rPr>
          <w:b/>
          <w:bCs/>
          <w:rtl w:val="false"/>
        </w:rPr>
        <w:t xml:space="preserve">How we prepared this template:</w:t>
      </w:r>
      <w:r>
        <w:rPr>
          <w:rtl w:val="false"/>
        </w:rPr>
        <w:t xml:space="preserve"> we drafted it from the official legislation and government platforms listed under Sources, and checked each legal statement against the official text on the review date. Where an official form or platform exists, we link to it and you should use it. Laws change; check the sources before use and have the final text reviewed by a licensed lawyer.</w:t>
      </w:r>
    </w:p>
    <w:p>
      <w:pPr>
        <w:bidi w:val="false"/>
      </w:pPr>
      <w:r>
        <w:rPr>
          <w:rtl w:val="false"/>
        </w:rPr>
        <w:t xml:space="preserve">The text of this page and the .docx downloads are licensed under </w:t>
      </w:r>
      <w:hyperlink w:history="1" r:id="rIdsfu9wmwocinyv-k4vnb3g">
        <w:r>
          <w:rPr>
            <w:rStyle w:val="Hyperlink"/>
            <w:rtl w:val="false"/>
          </w:rPr>
          <w:t xml:space="preserve">Creative Commons Attribution 4.0 International (CC BY 4.0)</w:t>
        </w:r>
      </w:hyperlink>
      <w:r>
        <w:rPr>
          <w:rtl w:val="false"/>
        </w:rPr>
        <w:t xml:space="preserve">. The Qanu name and logo are not covered by the licence.</w:t>
      </w:r>
    </w:p>
    <w:p>
      <w:pPr>
        <w:bidi w:val="false"/>
      </w:pPr>
      <w:r>
        <w:rPr>
          <w:rtl w:val="false"/>
        </w:rPr>
        <w:t xml:space="preserve">Source: https://www.qanu.ai/en/templates/legal-notice · Last reviewed: 22 October 2026 · Not legal advice · CC BY 4.0</w:t>
      </w:r>
    </w:p>
    <w:p>
      <w:pPr>
        <w:pStyle w:val="Heading2"/>
        <w:bidi w:val="false"/>
      </w:pPr>
      <w:r>
        <w:rPr>
          <w:rtl w:val="false"/>
        </w:rPr>
        <w:t xml:space="preserve">Sources</w:t>
      </w:r>
    </w:p>
    <w:p>
      <w:pPr>
        <w:bidi w:val="false"/>
        <w:ind w:start="360" w:hanging="360"/>
      </w:pPr>
      <w:r>
        <w:rPr>
          <w:sz w:val="18"/>
          <w:szCs w:val="18"/>
          <w:rtl w:val="false"/>
        </w:rPr>
        <w:t xml:space="preserve">[1] UAE Legislation, Federal Decree-Law No. 20 of 2022 regulating the notary profession, Article 1 (definitions) </w:t>
      </w:r>
      <w:hyperlink w:history="1" r:id="rIdg-tp5ys-q-afwi9n9as6m">
        <w:r>
          <w:rPr>
            <w:rStyle w:val="Hyperlink"/>
            <w:sz w:val="16"/>
            <w:szCs w:val="16"/>
          </w:rPr>
          <w:t xml:space="preserve">https://uaelegislation.gov.ae/en/legislations/1563</w:t>
        </w:r>
      </w:hyperlink>
    </w:p>
    <w:p>
      <w:pPr>
        <w:bidi w:val="false"/>
        <w:ind w:start="360" w:hanging="360"/>
      </w:pPr>
      <w:r>
        <w:rPr>
          <w:sz w:val="18"/>
          <w:szCs w:val="18"/>
          <w:rtl w:val="false"/>
        </w:rPr>
        <w:t xml:space="preserve">[2] UAE Legislation, Federal Decree-Law No. 50 of 2022 issuing the Commercial Transactions Law (notice in commercial matters; this page states no article number) </w:t>
      </w:r>
      <w:hyperlink w:history="1" r:id="rId4i1owhzve_jmp_ed2cuk9">
        <w:r>
          <w:rPr>
            <w:rStyle w:val="Hyperlink"/>
            <w:sz w:val="16"/>
            <w:szCs w:val="16"/>
          </w:rPr>
          <w:t xml:space="preserve">https://www.uaelegislation.gov.ae/en/legislations/1610</w:t>
        </w:r>
      </w:hyperlink>
    </w:p>
    <w:p>
      <w:pPr>
        <w:bidi w:val="false"/>
        <w:ind w:start="360" w:hanging="360"/>
      </w:pPr>
      <w:r>
        <w:rPr>
          <w:sz w:val="18"/>
          <w:szCs w:val="18"/>
          <w:rtl w:val="false"/>
        </w:rPr>
        <w:t xml:space="preserve">[3] Bureau of Experts, Civil Transactions Law (Royal Decree No. M/191 of 29/11/1444H) </w:t>
      </w:r>
      <w:hyperlink w:history="1" r:id="rId_tmnq1z5fcc0y51ksf3-l">
        <w:r>
          <w:rPr>
            <w:rStyle w:val="Hyperlink"/>
            <w:sz w:val="16"/>
            <w:szCs w:val="16"/>
          </w:rPr>
          <w:t xml:space="preserve">https://laws.boe.gov.sa/BoeLaws/Laws/LawDetails/655fdb42-8c96-422b-b8c4-b04f0095c94c/1</w:t>
        </w:r>
      </w:hyperlink>
    </w:p>
    <w:p>
      <w:pPr>
        <w:bidi w:val="false"/>
        <w:ind w:start="360" w:hanging="360"/>
      </w:pPr>
      <w:r>
        <w:rPr>
          <w:sz w:val="18"/>
          <w:szCs w:val="18"/>
          <w:rtl w:val="false"/>
        </w:rPr>
        <w:t xml:space="preserve">[4] UAE Legislation, Federal Decree-Law No. 25 of 2025 (Civil Transactions Law) </w:t>
      </w:r>
      <w:hyperlink w:history="1" r:id="rId3xok-b88atvfgfjy95ryw">
        <w:r>
          <w:rPr>
            <w:rStyle w:val="Hyperlink"/>
            <w:sz w:val="16"/>
            <w:szCs w:val="16"/>
          </w:rPr>
          <w:t xml:space="preserve">https://uaelegislation.gov.ae/en/legislations/4011</w:t>
        </w:r>
      </w:hyperlink>
    </w:p>
    <w:p>
      <w:pPr>
        <w:bidi w:val="false"/>
        <w:ind w:start="360" w:hanging="360"/>
      </w:pPr>
      <w:r>
        <w:rPr>
          <w:sz w:val="18"/>
          <w:szCs w:val="18"/>
          <w:rtl w:val="false"/>
        </w:rPr>
        <w:t xml:space="preserve">[5] Bureau of Experts, Commercial Courts Law </w:t>
      </w:r>
      <w:hyperlink w:history="1" r:id="rIdmk-vfzag6t-p4prlbmuj9">
        <w:r>
          <w:rPr>
            <w:rStyle w:val="Hyperlink"/>
            <w:sz w:val="16"/>
            <w:szCs w:val="16"/>
          </w:rPr>
          <w:t xml:space="preserve">https://laws.boe.gov.sa/BoeLaws/Laws/LawDetails/38334008-3b70-4c6c-b3af-aba3016a8061/1</w:t>
        </w:r>
      </w:hyperlink>
    </w:p>
    <w:p>
      <w:pPr>
        <w:bidi w:val="false"/>
        <w:ind w:start="360" w:hanging="360"/>
      </w:pPr>
      <w:r>
        <w:rPr>
          <w:sz w:val="18"/>
          <w:szCs w:val="18"/>
          <w:rtl w:val="false"/>
        </w:rPr>
        <w:t xml:space="preserve">[6] Legislation and Legal Opinion Commission, Bahrain Civil Code, Decree-Law No. 19 of 2001 </w:t>
      </w:r>
      <w:hyperlink w:history="1" r:id="rId3nmuoezrg2znq1x0dnvtf">
        <w:r>
          <w:rPr>
            <w:rStyle w:val="Hyperlink"/>
            <w:sz w:val="16"/>
            <w:szCs w:val="16"/>
          </w:rPr>
          <w:t xml:space="preserve">https://www.lloc.gov.bh/Legislation/HTM/L1901</w:t>
        </w:r>
      </w:hyperlink>
    </w:p>
    <w:p>
      <w:pPr>
        <w:bidi w:val="false"/>
        <w:ind w:start="360" w:hanging="360"/>
      </w:pPr>
      <w:r>
        <w:rPr>
          <w:sz w:val="18"/>
          <w:szCs w:val="18"/>
          <w:rtl w:val="false"/>
        </w:rPr>
        <w:t xml:space="preserve">[7] UAE Ministry of Justice, e-Notary system </w:t>
      </w:r>
      <w:hyperlink w:history="1" r:id="rIdood1vjrrtgouiqyxk1qnv">
        <w:r>
          <w:rPr>
            <w:rStyle w:val="Hyperlink"/>
            <w:sz w:val="16"/>
            <w:szCs w:val="16"/>
          </w:rPr>
          <w:t xml:space="preserve">https://www.moj.gov.ae/en/services/esystems/e-notary.aspx</w:t>
        </w:r>
      </w:hyperlink>
    </w:p>
    <w:sectPr>
      <w:headerReference w:type="default" r:id="rId7"/>
      <w:headerReference w:type="first" r:id="rId8"/>
      <w:footerReference w:type="default" r:id="rId9"/>
      <w:footerReference w:type="first" r:id="rId10"/>
      <w:pgSz w:w="11906" w:h="16838" w:orient="portrait"/>
      <w:pgMar w:top="1300" w:right="1200" w:bottom="1100" w:left="1200" w:header="500" w:footer="500" w:gutter="0"/>
      <w:pgNumType/>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p14">
  <w:comment w:id="0" w:initials="Q" w:author="Qanu" w:date="2026-10-22T00:00:00.000Z">
    <w:p>
      <w:pPr>
        <w:bidi w:val="false"/>
      </w:pPr>
      <w:r>
        <w:rPr>
          <w:b/>
          <w:bCs/>
          <w:rtl w:val="false"/>
        </w:rPr>
        <w:t xml:space="preserve">Drafting note</w:t>
      </w:r>
    </w:p>
    <w:p>
      <w:pPr>
        <w:bidi w:val="false"/>
      </w:pPr>
      <w:r>
        <w:rPr>
          <w:rtl w:val="false"/>
        </w:rPr>
        <w:t xml:space="preserve">Use the name on the identity document or in the </w:t>
      </w:r>
      <w:hyperlink w:history="1" r:id="rIda-wwwmwffey62gn3hqfhe">
        <w:r>
          <w:rPr>
            <w:rStyle w:val="Hyperlink"/>
            <w:rtl w:val="false"/>
          </w:rPr>
          <w:t xml:space="preserve">commercial register</w:t>
        </w:r>
      </w:hyperlink>
      <w:r>
        <w:rPr>
          <w:rtl w:val="false"/>
        </w:rPr>
        <w:t xml:space="preserve">, and an address that can be served.</w:t>
      </w:r>
    </w:p>
  </w:comment>
  <w:comment w:id="1" w:initials="Q" w:author="Qanu" w:date="2026-10-22T00:00:00.000Z">
    <w:p>
      <w:pPr>
        <w:bidi w:val="false"/>
      </w:pPr>
      <w:r>
        <w:rPr>
          <w:b/>
          <w:bCs/>
          <w:rtl w:val="false"/>
        </w:rPr>
        <w:t xml:space="preserve">Drafting note</w:t>
      </w:r>
    </w:p>
    <w:p>
      <w:pPr>
        <w:bidi w:val="false"/>
      </w:pPr>
      <w:r>
        <w:rPr>
          <w:rtl w:val="false"/>
        </w:rPr>
        <w:t xml:space="preserve">If the right is a Saudi promissory note, create it on Nafith before the notice. See the </w:t>
      </w:r>
      <w:hyperlink w:history="1" r:id="rId7kijzxqgpii9mcu2gmqgq">
        <w:r>
          <w:rPr>
            <w:rStyle w:val="Hyperlink"/>
            <w:rtl w:val="false"/>
          </w:rPr>
          <w:t xml:space="preserve">promissory-note checklist</w:t>
        </w:r>
      </w:hyperlink>
      <w:r>
        <w:rPr>
          <w:rtl w:val="false"/>
        </w:rPr>
        <w:t xml:space="preserve">. If an agent signs, issue the authority with the </w:t>
      </w:r>
      <w:hyperlink w:history="1" r:id="rIdfae4dpudf8-wvakogagpd">
        <w:r>
          <w:rPr>
            <w:rStyle w:val="Hyperlink"/>
            <w:rtl w:val="false"/>
          </w:rPr>
          <w:t xml:space="preserve">power of attorney template</w:t>
        </w:r>
      </w:hyperlink>
      <w:r>
        <w:rPr>
          <w:rtl w:val="false"/>
        </w:rPr>
        <w:t xml:space="preserve">.</w:t>
      </w:r>
    </w:p>
  </w:comment>
  <w:comment w:id="2" w:initials="Q" w:author="Qanu" w:date="2026-10-22T00:00:00.000Z">
    <w:p>
      <w:pPr>
        <w:bidi w:val="false"/>
      </w:pPr>
      <w:r>
        <w:rPr>
          <w:b/>
          <w:bCs/>
          <w:rtl w:val="false"/>
        </w:rPr>
        <w:t xml:space="preserve">Drafting note</w:t>
      </w:r>
    </w:p>
    <w:p>
      <w:pPr>
        <w:bidi w:val="false"/>
      </w:pPr>
      <w:r>
        <w:rPr>
          <w:rtl w:val="false"/>
        </w:rPr>
        <w:t xml:space="preserve">Three dated facts are enough. Cut detail that does not change the demand.</w:t>
      </w:r>
    </w:p>
  </w:comment>
  <w:comment w:id="3" w:initials="Q" w:author="Qanu" w:date="2026-10-22T00:00:00.000Z">
    <w:p>
      <w:pPr>
        <w:bidi w:val="false"/>
      </w:pPr>
      <w:r>
        <w:rPr>
          <w:b/>
          <w:bCs/>
          <w:rtl w:val="false"/>
        </w:rPr>
        <w:t xml:space="preserve">Drafting note</w:t>
      </w:r>
    </w:p>
    <w:p>
      <w:pPr>
        <w:bidi w:val="false"/>
      </w:pPr>
      <w:r>
        <w:rPr>
          <w:rtl w:val="false"/>
        </w:rPr>
        <w:t xml:space="preserve">Keep one option. In Saudi Arabia, termination for non-performance follows notice to the party in breach, and a termination condition does not dispense with that notice unless the parties say so expressly.</w:t>
      </w:r>
      <w:r>
        <w:rPr>
          <w:rtl w:val="false"/>
        </w:rPr>
        <w:t xml:space="preserve"> [3]</w:t>
      </w:r>
    </w:p>
  </w:comment>
  <w:comment w:id="4" w:initials="Q" w:author="Qanu" w:date="2026-10-22T00:00:00.000Z">
    <w:p>
      <w:pPr>
        <w:bidi w:val="false"/>
      </w:pPr>
      <w:r>
        <w:rPr>
          <w:b/>
          <w:bCs/>
          <w:rtl w:val="false"/>
        </w:rPr>
        <w:t xml:space="preserve">Drafting note</w:t>
      </w:r>
    </w:p>
    <w:p>
      <w:pPr>
        <w:bidi w:val="false"/>
      </w:pPr>
      <w:r>
        <w:rPr>
          <w:rtl w:val="false"/>
        </w:rPr>
        <w:t xml:space="preserve">Name the last day and the method. Do not write “immediately” where the contract already has a date.</w:t>
      </w:r>
    </w:p>
  </w:comment>
  <w:comment w:id="5" w:initials="Q" w:author="Qanu" w:date="2026-10-22T00:00:00.000Z">
    <w:p>
      <w:pPr>
        <w:bidi w:val="false"/>
      </w:pPr>
      <w:r>
        <w:rPr>
          <w:b/>
          <w:bCs/>
          <w:rtl w:val="false"/>
        </w:rPr>
        <w:t xml:space="preserve">Drafting note</w:t>
      </w:r>
    </w:p>
    <w:p>
      <w:pPr>
        <w:bidi w:val="false"/>
      </w:pPr>
      <w:r>
        <w:rPr>
          <w:rtl w:val="false"/>
        </w:rPr>
        <w:t xml:space="preserve">The Commercial Courts Law may require written notice before some commercial claims. Read the text before you rely on a period. This page states no article number for that notice.</w:t>
      </w:r>
      <w:r>
        <w:rPr>
          <w:rtl w:val="false"/>
        </w:rPr>
        <w:t xml:space="preserve"> [5]</w:t>
      </w:r>
      <w:r>
        <w:rPr>
          <w:rtl w:val="false"/>
        </w:rPr>
        <w:t xml:space="preserve"> On compensation, see </w:t>
      </w:r>
      <w:hyperlink w:history="1" r:id="rIdnkhgr5n3xq3s2jinzdaof">
        <w:r>
          <w:rPr>
            <w:rStyle w:val="Hyperlink"/>
            <w:rtl w:val="false"/>
          </w:rPr>
          <w:t xml:space="preserve">compensation</w:t>
        </w:r>
      </w:hyperlink>
      <w:r>
        <w:rPr>
          <w:rtl w:val="false"/>
        </w:rPr>
        <w:t xml:space="preserve"> and </w:t>
      </w:r>
      <w:hyperlink w:history="1" r:id="rIdqou5inb-4t5jmhmbo7dr8">
        <w:r>
          <w:rPr>
            <w:rStyle w:val="Hyperlink"/>
            <w:rtl w:val="false"/>
          </w:rPr>
          <w:t xml:space="preserve">penalty clause</w:t>
        </w:r>
      </w:hyperlink>
      <w:r>
        <w:rPr>
          <w:rtl w:val="false"/>
        </w:rPr>
        <w:t xml:space="preserve">.</w:t>
      </w:r>
    </w:p>
  </w:comment>
  <w:comment w:id="6" w:initials="Q" w:author="Qanu" w:date="2026-10-22T00:00:00.000Z">
    <w:p>
      <w:pPr>
        <w:bidi w:val="false"/>
      </w:pPr>
      <w:r>
        <w:rPr>
          <w:b/>
          <w:bCs/>
          <w:rtl w:val="false"/>
        </w:rPr>
        <w:t xml:space="preserve">Drafting note</w:t>
      </w:r>
    </w:p>
    <w:p>
      <w:pPr>
        <w:bidi w:val="false"/>
      </w:pPr>
      <w:r>
        <w:rPr>
          <w:rtl w:val="false"/>
        </w:rPr>
        <w:t xml:space="preserve">Keep the method you will actually use. In the UAE see </w:t>
      </w:r>
      <w:hyperlink w:history="1" r:id="rId84gxgcylfci455l5lkrgj">
        <w:r>
          <w:rPr>
            <w:rStyle w:val="Hyperlink"/>
            <w:rtl w:val="false"/>
          </w:rPr>
          <w:t xml:space="preserve">notary public</w:t>
        </w:r>
      </w:hyperlink>
      <w:r>
        <w:rPr>
          <w:rtl w:val="false"/>
        </w:rPr>
        <w:t xml:space="preserve">. Default-notice rules in Qatar, Kuwait and Oman were not checked for this page.</w:t>
      </w:r>
    </w:p>
  </w:comment>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bidi w:val="false"/>
    </w:pPr>
    <w:r>
      <w:rPr>
        <w:color w:val="555555"/>
        <w:sz w:val="16"/>
        <w:szCs w:val="16"/>
        <w:rtl w:val="false"/>
      </w:rPr>
      <w:t xml:space="preserve">CC BY 4.0 · Page </w:t>
    </w:r>
    <w:r>
      <w:rPr>
        <w:color w:val="555555"/>
        <w:sz w:val="16"/>
        <w:szCs w:val="16"/>
        <w:rtl w:val="false"/>
      </w:rPr>
      <w:fldChar w:fldCharType="begin"/>
    </w:r>
    <w:r>
      <w:rPr>
        <w:color w:val="555555"/>
        <w:sz w:val="16"/>
        <w:szCs w:val="16"/>
        <w:rtl w:val="false"/>
      </w:rPr>
      <w:instrText xml:space="preserve">PAGE</w:instrText>
    </w:r>
    <w:r>
      <w:rPr>
        <w:color w:val="555555"/>
        <w:sz w:val="16"/>
        <w:szCs w:val="16"/>
        <w:rtl w:val="false"/>
      </w:rPr>
      <w:fldChar w:fldCharType="separate"/>
    </w:r>
    <w:r>
      <w:rPr>
        <w:color w:val="555555"/>
        <w:sz w:val="16"/>
        <w:szCs w:val="16"/>
        <w:rtl w:val="false"/>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bidi w:val="false"/>
    </w:pPr>
    <w:r>
      <w:rPr>
        <w:color w:val="555555"/>
        <w:sz w:val="16"/>
        <w:szCs w:val="16"/>
        <w:rtl w:val="false"/>
      </w:rPr>
      <w:t xml:space="preserve">CC BY 4.0 · Page </w:t>
    </w:r>
    <w:r>
      <w:rPr>
        <w:color w:val="555555"/>
        <w:sz w:val="16"/>
        <w:szCs w:val="16"/>
        <w:rtl w:val="false"/>
      </w:rPr>
      <w:fldChar w:fldCharType="begin"/>
    </w:r>
    <w:r>
      <w:rPr>
        <w:color w:val="555555"/>
        <w:sz w:val="16"/>
        <w:szCs w:val="16"/>
        <w:rtl w:val="false"/>
      </w:rPr>
      <w:instrText xml:space="preserve">PAGE</w:instrText>
    </w:r>
    <w:r>
      <w:rPr>
        <w:color w:val="555555"/>
        <w:sz w:val="16"/>
        <w:szCs w:val="16"/>
        <w:rtl w:val="false"/>
      </w:rPr>
      <w:fldChar w:fldCharType="separate"/>
    </w:r>
    <w:r>
      <w:rPr>
        <w:color w:val="555555"/>
        <w:sz w:val="16"/>
        <w:szCs w:val="16"/>
        <w:rtl w:val="false"/>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bidi w:val="false"/>
    </w:pPr>
    <w:r>
      <w:rPr>
        <w:color w:val="555555"/>
        <w:sz w:val="16"/>
        <w:szCs w:val="16"/>
        <w:rtl w:val="false"/>
      </w:rPr>
      <w:t xml:space="preserve">Template – not legal advice – Qanu – last reviewed 22 October 2026 – https://www.qanu.ai/en/templates/legal-notice</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BBBBBB" w:sz="4" w:space="4"/>
      </w:pBdr>
      <w:bidi w:val="false"/>
    </w:pPr>
    <w:r>
      <w:rPr>
        <w:color w:val="555555"/>
        <w:sz w:val="16"/>
        <w:szCs w:val="16"/>
        <w:rtl w:val="false"/>
      </w:rPr>
      <w:t xml:space="preserve">Template – not legal advice – Qanu – last reviewed 22 October 2026 – https://www.qanu.ai/en/templates/legal-notice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start="360" w:hanging="260"/>
      </w:pPr>
    </w:lvl>
    <w:lvl w:ilvl="1" w:tentative="1">
      <w:start w:val="1"/>
      <w:numFmt w:val="bullet"/>
      <w:lvlText w:val="◦"/>
      <w:lvlJc w:val="left"/>
      <w:pPr>
        <w:ind w:start="900" w:hanging="260"/>
      </w:pPr>
    </w:lvl>
  </w:abstractNum>
  <w:num w:numId="1">
    <w:abstractNumId w:val="1"/>
    <w:lvlOverride w:ilvl="0">
      <w:startOverride w:val="1"/>
    </w:lvlOverride>
  </w:num>
  <w:num w:numId="2">
    <w:abstractNumId w:val="2"/>
    <w:lvlOverride w:ilvl="0">
      <w:startOverride w:val="1"/>
    </w:lvlOverride>
    <w:lvlOverride w:ilvl="1">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IBM Plex Sans Arabic" w:eastAsia="Calibri" w:hAnsi="Calibri"/>
        <w:sz w:val="21"/>
        <w:szCs w:val="21"/>
        <w:lang w:val="en-GB" w:bidi="ar-SA"/>
      </w:rPr>
    </w:rPrDefault>
    <w:pPrDefault>
      <w:pPr>
        <w:spacing w:after="120" w:line="276" w:lineRule="auto"/>
      </w:pPr>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pPr>
      <w:spacing w:after="120" w:line="240" w:lineRule="auto"/>
    </w:pPr>
    <w:rPr>
      <w:rFonts w:ascii="Calibri" w:cs="IBM Plex Sans Arabic" w:eastAsia="Calibri" w:hAnsi="Calibri"/>
      <w:b/>
      <w:bCs/>
      <w:color w:val="111111"/>
      <w:sz w:val="36"/>
      <w:szCs w:val="36"/>
    </w:rPr>
  </w:style>
  <w:style w:type="paragraph" w:styleId="Heading1">
    <w:name w:val="Heading 1"/>
    <w:basedOn w:val="Normal"/>
    <w:next w:val="Normal"/>
    <w:qFormat/>
    <w:pPr>
      <w:keepNext/>
      <w:spacing w:after="120" w:before="320"/>
    </w:pPr>
    <w:rPr>
      <w:rFonts w:ascii="Calibri" w:cs="IBM Plex Sans Arabic" w:eastAsia="Calibri" w:hAnsi="Calibri"/>
      <w:b/>
      <w:bCs/>
      <w:color w:val="111111"/>
      <w:sz w:val="26"/>
      <w:szCs w:val="26"/>
    </w:rPr>
  </w:style>
  <w:style w:type="paragraph" w:styleId="Heading2">
    <w:name w:val="Heading 2"/>
    <w:basedOn w:val="Normal"/>
    <w:next w:val="Normal"/>
    <w:qFormat/>
    <w:pPr>
      <w:keepNext/>
      <w:spacing w:after="120" w:before="240"/>
    </w:pPr>
    <w:rPr>
      <w:rFonts w:ascii="Calibri" w:cs="IBM Plex Sans Arabic" w:eastAsia="Calibri" w:hAnsi="Calibri"/>
      <w:b/>
      <w:bCs/>
      <w:color w:val="111111"/>
      <w:sz w:val="22"/>
      <w:szCs w:val="22"/>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1F4E9E"/>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Relationship Id="rIda-wwwmwffey62gn3hqfhe" Type="http://schemas.openxmlformats.org/officeDocument/2006/relationships/hyperlink" Target="https://www.qanu.ai/en/glossary/commercial-registration" TargetMode="External"/><Relationship Id="rId7kijzxqgpii9mcu2gmqgq" Type="http://schemas.openxmlformats.org/officeDocument/2006/relationships/hyperlink" Target="https://www.qanu.ai/en/templates/promissory-note" TargetMode="External"/><Relationship Id="rIdfae4dpudf8-wvakogagpd" Type="http://schemas.openxmlformats.org/officeDocument/2006/relationships/hyperlink" Target="https://www.qanu.ai/en/templates/power-of-attorney" TargetMode="External"/><Relationship Id="rIdnkhgr5n3xq3s2jinzdaof" Type="http://schemas.openxmlformats.org/officeDocument/2006/relationships/hyperlink" Target="https://www.qanu.ai/en/glossary/compensation" TargetMode="External"/><Relationship Id="rIdqou5inb-4t5jmhmbo7dr8" Type="http://schemas.openxmlformats.org/officeDocument/2006/relationships/hyperlink" Target="https://www.qanu.ai/en/glossary/penalty-clause" TargetMode="External"/><Relationship Id="rId84gxgcylfci455l5lkrgj" Type="http://schemas.openxmlformats.org/officeDocument/2006/relationships/hyperlink" Target="https://www.qanu.ai/en/glossary/notary-public" TargetMode="External"/></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footer" Target="footer1.xml"/><Relationship Id="rId10" Type="http://schemas.openxmlformats.org/officeDocument/2006/relationships/footer" Target="footer2.xml"/><Relationship Id="rId11" Type="http://schemas.openxmlformats.org/officeDocument/2006/relationships/theme" Target="theme/theme1.xml"/><Relationship Id="rIdlhzojnrfvjgh8vzzcevzc" Type="http://schemas.openxmlformats.org/officeDocument/2006/relationships/hyperlink" Target="https://uaelegislation.gov.ae/en/legislations/1563" TargetMode="External"/><Relationship Id="rIdlw5ntc_hmcdlxufvwphxu" Type="http://schemas.openxmlformats.org/officeDocument/2006/relationships/hyperlink" Target="https://laws.boe.gov.sa/BoeLaws/Laws/LawDetails/655fdb42-8c96-422b-b8c4-b04f0095c94c/1" TargetMode="External"/><Relationship Id="rIduzyaux5ub22lyj8ymz8hk" Type="http://schemas.openxmlformats.org/officeDocument/2006/relationships/hyperlink" Target="https://www.moj.gov.ae/en/services/esystems/e-notary.aspx" TargetMode="External"/><Relationship Id="rIdclds9rghivikh16jv9epg" Type="http://schemas.openxmlformats.org/officeDocument/2006/relationships/hyperlink" Target="https://www.qanu.ai/en/templates/residential-lease-agreement" TargetMode="External"/><Relationship Id="rIdpugsfc1ftbx-8ylvesute" Type="http://schemas.openxmlformats.org/officeDocument/2006/relationships/hyperlink" Target="https://www.qanu.ai/en/templates/statement-of-claim" TargetMode="External"/><Relationship Id="rIdsfu9wmwocinyv-k4vnb3g" Type="http://schemas.openxmlformats.org/officeDocument/2006/relationships/hyperlink" Target="https://creativecommons.org/licenses/by/4.0/deed.en" TargetMode="External"/><Relationship Id="rIdg-tp5ys-q-afwi9n9as6m" Type="http://schemas.openxmlformats.org/officeDocument/2006/relationships/hyperlink" Target="https://uaelegislation.gov.ae/en/legislations/1563" TargetMode="External"/><Relationship Id="rId4i1owhzve_jmp_ed2cuk9" Type="http://schemas.openxmlformats.org/officeDocument/2006/relationships/hyperlink" Target="https://www.uaelegislation.gov.ae/en/legislations/1610" TargetMode="External"/><Relationship Id="rId_tmnq1z5fcc0y51ksf3-l" Type="http://schemas.openxmlformats.org/officeDocument/2006/relationships/hyperlink" Target="https://laws.boe.gov.sa/BoeLaws/Laws/LawDetails/655fdb42-8c96-422b-b8c4-b04f0095c94c/1" TargetMode="External"/><Relationship Id="rId3xok-b88atvfgfjy95ryw" Type="http://schemas.openxmlformats.org/officeDocument/2006/relationships/hyperlink" Target="https://uaelegislation.gov.ae/en/legislations/4011" TargetMode="External"/><Relationship Id="rIdmk-vfzag6t-p4prlbmuj9" Type="http://schemas.openxmlformats.org/officeDocument/2006/relationships/hyperlink" Target="https://laws.boe.gov.sa/BoeLaws/Laws/LawDetails/38334008-3b70-4c6c-b3af-aba3016a8061/1" TargetMode="External"/><Relationship Id="rId3nmuoezrg2znq1x0dnvtf" Type="http://schemas.openxmlformats.org/officeDocument/2006/relationships/hyperlink" Target="https://www.lloc.gov.bh/Legislation/HTM/L1901" TargetMode="External"/><Relationship Id="rIdood1vjrrtgouiqyxk1qnv" Type="http://schemas.openxmlformats.org/officeDocument/2006/relationships/hyperlink" Target="https://www.moj.gov.ae/en/services/esystems/e-notary.aspx" TargetMode="External"/><Relationship Id="rId2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_rels/header2.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Legal notice template</dc:title>
  <dc:creator>Qanu</dc:creator>
  <cp:keywords>Legal notice, Notice of default, Notary, GCC</cp:keywords>
  <dc:description>This is a template, not legal advice. It does not create a lawyer–client relationship. Court rules, regulator guidance and laws change; check the official sources linked and have the contract reviewed by qualified counsel in each relevant jurisdiction. Last reviewed: 22 October 2026. Have it reviewed by a lawyer licensed in your jurisdiction before use. Where an official form or platform is mandatory, it prevails.</dc:description>
  <cp:lastModifiedBy>Qanu</cp:lastModifiedBy>
  <cp:revision>1</cp:revision>
  <dcterms:created xsi:type="dcterms:W3CDTF">2026-10-21T21:23:24.953Z</dcterms:created>
  <dcterms:modified xsi:type="dcterms:W3CDTF">2026-10-21T21:23:24.953Z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icense">
    <vt:lpwstr>https://creativecommons.org/licenses/by/4.0/</vt:lpwstr>
  </property>
  <property fmtid="{D5CDD505-2E9C-101B-9397-08002B2CF9AE}" pid="3" name="Source">
    <vt:lpwstr>https://www.qanu.ai/en/templates/legal-notice</vt:lpwstr>
  </property>
</Properties>
</file>