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التأسيس والمستند الملزم يصدران من الجهة الرسمية.</w:t>
      </w:r>
      <w:r>
        <w:rPr>
          <w:rtl/>
        </w:rPr>
        <w:t xml:space="preserve"> هذه قائمة شروط للمؤسسين، لا تأسيساً. وفي المملكة العربية السعودية أسّسوا الشركة عبر المركز السعودي للأعمال واستعملوا المستندات التي يولّدها.</w:t>
      </w:r>
      <w:r>
        <w:rPr>
          <w:rtl/>
        </w:rPr>
        <w:t xml:space="preserve"> [2]</w:t>
      </w:r>
      <w:r>
        <w:rPr>
          <w:rtl/>
        </w:rPr>
        <w:t xml:space="preserve"> ويحدّد نظام الشركات، الصادر بالمرسوم الملكي رقم (م/132) وتاريخ 1443/12/1هـ، أشكال الشركات، ومنها الشركة ذات المسؤولية المحدودة.</w:t>
      </w:r>
      <w:r>
        <w:rPr>
          <w:rtl/>
        </w:rPr>
        <w:t xml:space="preserve"> [1]</w:t>
      </w:r>
      <w:r>
        <w:rPr>
          <w:rtl/>
        </w:rPr>
        <w:t xml:space="preserve"> ولم يُقرأ متن المواد من خارج المملكة، فلا تسمّي هذه الصفحة مستند الشركة «عقد تأسيس» أو «نظام أساس» على أنه لفظ النظام. وفي الإمارات تخضع الشركات لقانون الشركات التجارية الصادر بالمرسوم بقانون اتحادي رقم (32) لسنة 2021، والمستند الملزم هو نموذج الجهة التي تقيد الشركة.</w:t>
      </w:r>
      <w:r>
        <w:rPr>
          <w:rtl/>
        </w:rPr>
        <w:t xml:space="preserve"> [3]</w:t>
      </w:r>
      <w:r>
        <w:rPr>
          <w:rtl/>
        </w:rPr>
        <w:t xml:space="preserve"> أما </w:t>
      </w:r>
      <w:hyperlink w:history="1" r:id="rIdpgfk07_fk-ungkgglq13m">
        <w:r>
          <w:rPr>
            <w:rStyle w:val="Hyperlink"/>
            <w:rtl/>
          </w:rPr>
          <w:t xml:space="preserve">عقد الشراكة</w:t>
        </w:r>
      </w:hyperlink>
      <w:r>
        <w:rPr>
          <w:rtl/>
        </w:rPr>
        <w:t xml:space="preserve"> فلا يُنشئ شركة.</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3stourqp87pf7ahti_6gy">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المركز السعودي للأعمال: </w:t>
      </w:r>
      <w:hyperlink w:history="1" r:id="rIdni5mgbjaen4fly2fdn0u-">
        <w:r>
          <w:rPr>
            <w:rStyle w:val="Hyperlink"/>
            <w:sz w:val="17"/>
            <w:szCs w:val="17"/>
          </w:rPr>
          <w:t xml:space="preserve">‪https://business.sa/‬</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التجارية: </w:t>
      </w:r>
      <w:hyperlink w:history="1" r:id="rIdkfkn9xvhtmkrp9lbbnejc">
        <w:r>
          <w:rPr>
            <w:rStyle w:val="Hyperlink"/>
            <w:sz w:val="17"/>
            <w:szCs w:val="17"/>
          </w:rPr>
          <w:t xml:space="preserve">‪https://u.ae/en/information-and-services/business/Doing-business/doing-business-on-the-mainland/full-foreign-ownership-of-commercial-companies‬</w:t>
        </w:r>
      </w:hyperlink>
    </w:p>
    <w:p>
      <w:pPr>
        <w:bidi/>
        <w:spacing w:after="240"/>
      </w:pPr>
    </w:p>
    <w:p>
      <w:pPr>
        <w:pStyle w:val="Title"/>
        <w:bidi/>
      </w:pPr>
      <w:r>
        <w:rPr>
          <w:rtl/>
        </w:rPr>
        <w:t xml:space="preserve">عقد تأسيس شركة ذات مسؤولية محدودة</w:t>
      </w:r>
    </w:p>
    <w:p>
      <w:pPr>
        <w:bidi/>
        <w:spacing w:after="240"/>
      </w:pPr>
      <w:r>
        <w:rPr>
          <w:color w:val="444444"/>
          <w:rtl/>
        </w:rPr>
        <w:t xml:space="preserve">قائمة شروط للمؤسسين قبل تأسيس شركة ذات مسؤولية محدودة في دول الخليج: الاسم، والنشاط، والمركز، والمدة، ورأس المال، والإدارة، والأرباح، والتنازل، والانقضاء. وهي لا تُؤسِّس الشركة ولا تغني عن المستند الذي تصدره جهة التأسيس.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commentRangeStart w:id="0"/>
      <w:r>
        <w:rPr>
          <w:rtl/>
        </w:rPr>
        <w:t xml:space="preserve">البند (1): الاسم والشكل</w:t>
      </w:r>
      <w:commentRangeEnd w:id="0"/>
      <w:r>
        <w:rPr>
          <w:rtl/>
        </w:rPr>
        <w:commentReference w:id="0"/>
      </w:r>
    </w:p>
    <w:p>
      <w:pPr>
        <w:bidi/>
      </w:pPr>
      <w:r>
        <w:rPr>
          <w:rtl/>
        </w:rPr>
        <w:t xml:space="preserve">اسم الشركة: </w:t>
      </w:r>
      <w:r>
        <w:rPr>
          <w:highlight w:val="yellow"/>
          <w:rtl/>
        </w:rPr>
        <w:t xml:space="preserve">[</w:t>
      </w:r>
      <w:r>
        <w:rPr>
          <w:highlight w:val="yellow"/>
          <w:rtl/>
        </w:rPr>
        <w:t xml:space="preserve">●</w:t>
      </w:r>
      <w:r>
        <w:rPr>
          <w:highlight w:val="yellow"/>
          <w:rtl/>
        </w:rPr>
        <w:t xml:space="preserve">]</w:t>
      </w:r>
      <w:r>
        <w:rPr>
          <w:rtl/>
        </w:rPr>
        <w:t xml:space="preserve">. شكلها: شركة ذات مسؤولية محدودة. ويُكتب الاسم في المستند الرسمي كما تقبله جهة القيد.</w:t>
      </w:r>
    </w:p>
    <w:p>
      <w:pPr>
        <w:pStyle w:val="Heading1"/>
        <w:bidi/>
      </w:pPr>
      <w:commentRangeStart w:id="1"/>
      <w:r>
        <w:rPr>
          <w:rtl/>
        </w:rPr>
        <w:t xml:space="preserve">البند (2): الأغراض والأنشطة</w:t>
      </w:r>
      <w:commentRangeEnd w:id="1"/>
      <w:r>
        <w:rPr>
          <w:rtl/>
        </w:rPr>
        <w:commentReference w:id="1"/>
      </w:r>
    </w:p>
    <w:p>
      <w:pPr>
        <w:bidi/>
      </w:pPr>
      <w:r>
        <w:rPr>
          <w:rtl/>
        </w:rPr>
        <w:t xml:space="preserve">أغراض الشركة: </w:t>
      </w:r>
      <w:r>
        <w:rPr>
          <w:highlight w:val="yellow"/>
          <w:rtl/>
        </w:rPr>
        <w:t xml:space="preserve">[</w:t>
      </w:r>
      <w:r>
        <w:rPr>
          <w:highlight w:val="yellow"/>
          <w:rtl/>
        </w:rPr>
        <w:t xml:space="preserve">صفوا الأنشطة</w:t>
      </w:r>
      <w:r>
        <w:rPr>
          <w:highlight w:val="yellow"/>
          <w:rtl/>
        </w:rPr>
        <w:t xml:space="preserve">]</w:t>
      </w:r>
      <w:r>
        <w:rPr>
          <w:rtl/>
        </w:rPr>
        <w:t xml:space="preserve">. ويمارس كل نشاط بعد الحصول على الترخيص الذي تطلبه الجهة المختصة به.</w:t>
      </w:r>
    </w:p>
    <w:p>
      <w:pPr>
        <w:pStyle w:val="Heading1"/>
        <w:bidi/>
      </w:pPr>
      <w:r>
        <w:rPr>
          <w:rtl/>
        </w:rPr>
        <w:t xml:space="preserve">البند (3): المركز الرئيس</w:t>
      </w:r>
    </w:p>
    <w:p>
      <w:pPr>
        <w:bidi/>
      </w:pPr>
      <w:r>
        <w:rPr>
          <w:rtl/>
        </w:rPr>
        <w:t xml:space="preserve">مركز الشركة الرئيس في </w:t>
      </w:r>
      <w:r>
        <w:rPr>
          <w:highlight w:val="yellow"/>
          <w:rtl/>
        </w:rPr>
        <w:t xml:space="preserve">[</w:t>
      </w:r>
      <w:r>
        <w:rPr>
          <w:highlight w:val="yellow"/>
          <w:rtl/>
        </w:rPr>
        <w:t xml:space="preserve">المدينة، الدولة</w:t>
      </w:r>
      <w:r>
        <w:rPr>
          <w:highlight w:val="yellow"/>
          <w:rtl/>
        </w:rPr>
        <w:t xml:space="preserve">]</w:t>
      </w:r>
      <w:r>
        <w:rPr>
          <w:rtl/>
        </w:rPr>
        <w:t xml:space="preserve">. ولها أن تنشئ فروعاً بقرار من </w:t>
      </w:r>
      <w:r>
        <w:rPr>
          <w:highlight w:val="yellow"/>
          <w:rtl/>
        </w:rPr>
        <w:t xml:space="preserve">[</w:t>
      </w:r>
      <w:r>
        <w:rPr>
          <w:highlight w:val="yellow"/>
          <w:rtl/>
        </w:rPr>
        <w:t xml:space="preserve">المدير / الشركاء</w:t>
      </w:r>
      <w:r>
        <w:rPr>
          <w:highlight w:val="yellow"/>
          <w:rtl/>
        </w:rPr>
        <w:t xml:space="preserve">]</w:t>
      </w:r>
      <w:r>
        <w:rPr>
          <w:rtl/>
        </w:rPr>
        <w:t xml:space="preserve">.</w:t>
      </w:r>
    </w:p>
    <w:p>
      <w:pPr>
        <w:pStyle w:val="Heading1"/>
        <w:bidi/>
      </w:pPr>
      <w:commentRangeStart w:id="2"/>
      <w:r>
        <w:rPr>
          <w:rtl/>
        </w:rPr>
        <w:t xml:space="preserve">البند (4): المدة</w:t>
      </w:r>
      <w:commentRangeEnd w:id="2"/>
      <w:r>
        <w:rPr>
          <w:rtl/>
        </w:rPr>
        <w:commentReference w:id="2"/>
      </w:r>
    </w:p>
    <w:p>
      <w:pPr>
        <w:bidi/>
      </w:pPr>
      <w:r>
        <w:rPr>
          <w:rtl/>
        </w:rPr>
        <w:t xml:space="preserve">مدة الشركة </w:t>
      </w:r>
      <w:r>
        <w:rPr>
          <w:highlight w:val="yellow"/>
          <w:rtl/>
        </w:rPr>
        <w:t xml:space="preserve">[</w:t>
      </w:r>
      <w:r>
        <w:rPr>
          <w:highlight w:val="yellow"/>
          <w:rtl/>
        </w:rPr>
        <w:t xml:space="preserve">●</w:t>
      </w:r>
      <w:r>
        <w:rPr>
          <w:highlight w:val="yellow"/>
          <w:rtl/>
        </w:rPr>
        <w:t xml:space="preserve">]</w:t>
      </w:r>
      <w:r>
        <w:rPr>
          <w:rtl/>
        </w:rPr>
        <w:t xml:space="preserve"> سنة تبدأ من تاريخ قيدها، وتجدَّد </w:t>
      </w:r>
      <w:r>
        <w:rPr>
          <w:highlight w:val="yellow"/>
          <w:rtl/>
        </w:rPr>
        <w:t xml:space="preserve">[</w:t>
      </w:r>
      <w:r>
        <w:rPr>
          <w:highlight w:val="yellow"/>
          <w:rtl/>
        </w:rPr>
        <w:t xml:space="preserve">تلقائياً / بقرار</w:t>
      </w:r>
      <w:r>
        <w:rPr>
          <w:highlight w:val="yellow"/>
          <w:rtl/>
        </w:rPr>
        <w:t xml:space="preserve">]</w:t>
      </w:r>
      <w:r>
        <w:rPr>
          <w:rtl/>
        </w:rPr>
        <w:t xml:space="preserve"> ما لم يقرر الشركاء غير ذلك.</w:t>
      </w:r>
    </w:p>
    <w:p>
      <w:pPr>
        <w:pStyle w:val="Heading1"/>
        <w:bidi/>
      </w:pPr>
      <w:commentRangeStart w:id="3"/>
      <w:r>
        <w:rPr>
          <w:rtl/>
        </w:rPr>
        <w:t xml:space="preserve">البند (5): رأس المال والحصص</w:t>
      </w:r>
      <w:commentRangeEnd w:id="3"/>
      <w:r>
        <w:rPr>
          <w:rtl/>
        </w:rPr>
        <w:commentReference w:id="3"/>
      </w:r>
    </w:p>
    <w:p>
      <w:pPr>
        <w:bidi/>
      </w:pPr>
      <w:r>
        <w:rPr>
          <w:rtl/>
        </w:rPr>
        <w:t xml:space="preserve">رأس المال </w:t>
      </w:r>
      <w:r>
        <w:rPr>
          <w:highlight w:val="yellow"/>
          <w:rtl/>
        </w:rPr>
        <w:t xml:space="preserve">[</w:t>
      </w:r>
      <w:r>
        <w:rPr>
          <w:highlight w:val="yellow"/>
          <w:rtl/>
        </w:rPr>
        <w:t xml:space="preserve">●</w:t>
      </w:r>
      <w:r>
        <w:rPr>
          <w:highlight w:val="yellow"/>
          <w:rtl/>
        </w:rPr>
        <w:t xml:space="preserve">]</w:t>
      </w:r>
      <w:r>
        <w:rPr>
          <w:rtl/>
        </w:rPr>
        <w:t xml:space="preserve">، مقسّم إلى </w:t>
      </w:r>
      <w:r>
        <w:rPr>
          <w:highlight w:val="yellow"/>
          <w:rtl/>
        </w:rPr>
        <w:t xml:space="preserve">[</w:t>
      </w:r>
      <w:r>
        <w:rPr>
          <w:highlight w:val="yellow"/>
          <w:rtl/>
        </w:rPr>
        <w:t xml:space="preserve">●</w:t>
      </w:r>
      <w:r>
        <w:rPr>
          <w:highlight w:val="yellow"/>
          <w:rtl/>
        </w:rPr>
        <w:t xml:space="preserve">]</w:t>
      </w:r>
      <w:r>
        <w:rPr>
          <w:rtl/>
        </w:rPr>
        <w:t xml:space="preserve"> حصة، قيمة الحصة </w:t>
      </w:r>
      <w:r>
        <w:rPr>
          <w:highlight w:val="yellow"/>
          <w:rtl/>
        </w:rPr>
        <w:t xml:space="preserve">[</w:t>
      </w:r>
      <w:r>
        <w:rPr>
          <w:highlight w:val="yellow"/>
          <w:rtl/>
        </w:rPr>
        <w:t xml:space="preserve">●</w:t>
      </w:r>
      <w:r>
        <w:rPr>
          <w:highlight w:val="yellow"/>
          <w:rtl/>
        </w:rPr>
        <w:t xml:space="preserve">]</w:t>
      </w:r>
      <w:r>
        <w:rPr>
          <w:rtl/>
        </w:rPr>
        <w:t xml:space="preserve">، موزعاً كما في الملحق (1).</w:t>
      </w:r>
    </w:p>
    <w:p>
      <w:pPr>
        <w:bidi/>
      </w:pPr>
      <w:r>
        <w:rPr>
          <w:rtl/>
        </w:rPr>
        <w:t xml:space="preserve">الحصة العينية: </w:t>
      </w:r>
      <w:r>
        <w:rPr>
          <w:highlight w:val="yellow"/>
          <w:rtl/>
        </w:rPr>
        <w:t xml:space="preserve">[</w:t>
      </w:r>
      <w:r>
        <w:rPr>
          <w:highlight w:val="yellow"/>
          <w:rtl/>
        </w:rPr>
        <w:t xml:space="preserve">وصفها، ومن قدّمها، وكيف قُوِّمت</w:t>
      </w:r>
      <w:r>
        <w:rPr>
          <w:highlight w:val="yellow"/>
          <w:rtl/>
        </w:rPr>
        <w:t xml:space="preserve">]</w:t>
      </w:r>
      <w:r>
        <w:rPr>
          <w:rtl/>
        </w:rPr>
        <w:t xml:space="preserve">. وتُنقل ملكيتها إلى الشركة وفق ما تطلبه جهة القيد.</w:t>
      </w:r>
    </w:p>
    <w:p>
      <w:pPr>
        <w:pStyle w:val="Heading1"/>
        <w:bidi/>
      </w:pPr>
      <w:commentRangeStart w:id="4"/>
      <w:r>
        <w:rPr>
          <w:rtl/>
        </w:rPr>
        <w:t xml:space="preserve">البند (6): الإدارة وصلاحيات المدير</w:t>
      </w:r>
      <w:commentRangeEnd w:id="4"/>
      <w:r>
        <w:rPr>
          <w:rtl/>
        </w:rPr>
        <w:commentReference w:id="4"/>
      </w:r>
    </w:p>
    <w:p>
      <w:pPr>
        <w:bidi/>
      </w:pPr>
      <w:r>
        <w:rPr>
          <w:rtl/>
        </w:rPr>
        <w:t xml:space="preserve">يدير الشركة </w:t>
      </w:r>
      <w:r>
        <w:rPr>
          <w:highlight w:val="yellow"/>
          <w:rtl/>
        </w:rPr>
        <w:t xml:space="preserve">[</w:t>
      </w:r>
      <w:r>
        <w:rPr>
          <w:highlight w:val="yellow"/>
          <w:rtl/>
        </w:rPr>
        <w:t xml:space="preserve">مدير / مديرون</w:t>
      </w:r>
      <w:r>
        <w:rPr>
          <w:highlight w:val="yellow"/>
          <w:rtl/>
        </w:rPr>
        <w:t xml:space="preserve">]</w:t>
      </w:r>
      <w:r>
        <w:rPr>
          <w:rtl/>
        </w:rPr>
        <w:t xml:space="preserve">: </w:t>
      </w:r>
      <w:r>
        <w:rPr>
          <w:highlight w:val="yellow"/>
          <w:rtl/>
        </w:rPr>
        <w:t xml:space="preserve">[</w:t>
      </w:r>
      <w:r>
        <w:rPr>
          <w:highlight w:val="yellow"/>
          <w:rtl/>
        </w:rPr>
        <w:t xml:space="preserve">الاسم، ورقم الهوية</w:t>
      </w:r>
      <w:r>
        <w:rPr>
          <w:highlight w:val="yellow"/>
          <w:rtl/>
        </w:rPr>
        <w:t xml:space="preserve">]</w:t>
      </w:r>
      <w:r>
        <w:rPr>
          <w:rtl/>
        </w:rPr>
        <w:t xml:space="preserve">. ومدة التعيين </w:t>
      </w:r>
      <w:r>
        <w:rPr>
          <w:highlight w:val="yellow"/>
          <w:rtl/>
        </w:rPr>
        <w:t xml:space="preserve">[</w:t>
      </w:r>
      <w:r>
        <w:rPr>
          <w:highlight w:val="yellow"/>
          <w:rtl/>
        </w:rPr>
        <w:t xml:space="preserve">●</w:t>
      </w:r>
      <w:r>
        <w:rPr>
          <w:highlight w:val="yellow"/>
          <w:rtl/>
        </w:rPr>
        <w:t xml:space="preserve">]</w:t>
      </w:r>
      <w:r>
        <w:rPr>
          <w:rtl/>
        </w:rPr>
        <w:t xml:space="preserve">.</w:t>
      </w:r>
    </w:p>
    <w:p>
      <w:pPr>
        <w:bidi/>
      </w:pPr>
      <w:r>
        <w:rPr>
          <w:rtl/>
        </w:rPr>
        <w:t xml:space="preserve">للمدير الصلاحيات الآتية: </w:t>
      </w:r>
      <w:r>
        <w:rPr>
          <w:highlight w:val="yellow"/>
          <w:rtl/>
        </w:rPr>
        <w:t xml:space="preserve">[</w:t>
      </w:r>
      <w:r>
        <w:rPr>
          <w:highlight w:val="yellow"/>
          <w:rtl/>
        </w:rPr>
        <w:t xml:space="preserve">الإدارة اليومية، والتوقيع، والحسابات</w:t>
      </w:r>
      <w:r>
        <w:rPr>
          <w:highlight w:val="yellow"/>
          <w:rtl/>
        </w:rPr>
        <w:t xml:space="preserve">]</w:t>
      </w:r>
      <w:r>
        <w:rPr>
          <w:rtl/>
        </w:rPr>
        <w:t xml:space="preserve">. ويلزم قرار الشركاء لـ: </w:t>
      </w:r>
      <w:r>
        <w:rPr>
          <w:highlight w:val="yellow"/>
          <w:rtl/>
        </w:rPr>
        <w:t xml:space="preserve">[</w:t>
      </w:r>
      <w:r>
        <w:rPr>
          <w:highlight w:val="yellow"/>
          <w:rtl/>
        </w:rPr>
        <w:t xml:space="preserve">الاقتراض فوق ● / التصرف في أصول ● / التأسيس لفرع</w:t>
      </w:r>
      <w:r>
        <w:rPr>
          <w:highlight w:val="yellow"/>
          <w:rtl/>
        </w:rPr>
        <w:t xml:space="preserve">]</w:t>
      </w:r>
      <w:r>
        <w:rPr>
          <w:rtl/>
        </w:rPr>
        <w:t xml:space="preserve">.</w:t>
      </w:r>
    </w:p>
    <w:p>
      <w:pPr>
        <w:pStyle w:val="Heading1"/>
        <w:bidi/>
      </w:pPr>
      <w:commentRangeStart w:id="5"/>
      <w:r>
        <w:rPr>
          <w:rtl/>
        </w:rPr>
        <w:t xml:space="preserve">البند (7): قرارات الشركاء</w:t>
      </w:r>
      <w:commentRangeEnd w:id="5"/>
      <w:r>
        <w:rPr>
          <w:rtl/>
        </w:rPr>
        <w:commentReference w:id="5"/>
      </w:r>
    </w:p>
    <w:p>
      <w:pPr>
        <w:bidi/>
      </w:pPr>
      <w:r>
        <w:rPr>
          <w:rtl/>
        </w:rPr>
        <w:t xml:space="preserve">تصدر قرارات الشركاء في اجتماع أو بالتمرير. والنصاب والأكثرية: </w:t>
      </w:r>
      <w:r>
        <w:rPr>
          <w:highlight w:val="yellow"/>
          <w:rtl/>
        </w:rPr>
        <w:t xml:space="preserve">[</w:t>
      </w:r>
      <w:r>
        <w:rPr>
          <w:highlight w:val="yellow"/>
          <w:rtl/>
        </w:rPr>
        <w:t xml:space="preserve">يُملآن من نموذج جهة التأسيس، ولا يُتركان فارغين عند القيد</w:t>
      </w:r>
      <w:r>
        <w:rPr>
          <w:highlight w:val="yellow"/>
          <w:rtl/>
        </w:rPr>
        <w:t xml:space="preserve">]</w:t>
      </w:r>
      <w:r>
        <w:rPr>
          <w:rtl/>
        </w:rPr>
        <w:t xml:space="preserve">.</w:t>
      </w:r>
    </w:p>
    <w:p>
      <w:pPr>
        <w:bidi/>
      </w:pPr>
      <w:r>
        <w:rPr>
          <w:rtl/>
        </w:rPr>
        <w:t xml:space="preserve">تُحرَّر القرارات كتابةً وتُوقَّع، وتُحفظ في سجل الشركة.</w:t>
      </w:r>
    </w:p>
    <w:p>
      <w:pPr>
        <w:pStyle w:val="Heading1"/>
        <w:bidi/>
      </w:pPr>
      <w:commentRangeStart w:id="6"/>
      <w:r>
        <w:rPr>
          <w:rtl/>
        </w:rPr>
        <w:t xml:space="preserve">البند (8): الأرباح والاحتياطي والخسائر</w:t>
      </w:r>
      <w:commentRangeEnd w:id="6"/>
      <w:r>
        <w:rPr>
          <w:rtl/>
        </w:rPr>
        <w:commentReference w:id="6"/>
      </w:r>
    </w:p>
    <w:p>
      <w:pPr>
        <w:bidi/>
      </w:pPr>
      <w:r>
        <w:rPr>
          <w:rtl/>
        </w:rPr>
        <w:t xml:space="preserve">توزَّع الأرباح القابلة للتوزيع بنسبة الحصص، بعد </w:t>
      </w:r>
      <w:r>
        <w:rPr>
          <w:highlight w:val="yellow"/>
          <w:rtl/>
        </w:rPr>
        <w:t xml:space="preserve">[</w:t>
      </w:r>
      <w:r>
        <w:rPr>
          <w:highlight w:val="yellow"/>
          <w:rtl/>
        </w:rPr>
        <w:t xml:space="preserve">ما يُتفق على اقتطاعه</w:t>
      </w:r>
      <w:r>
        <w:rPr>
          <w:highlight w:val="yellow"/>
          <w:rtl/>
        </w:rPr>
        <w:t xml:space="preserve">]</w:t>
      </w:r>
      <w:r>
        <w:rPr>
          <w:rtl/>
        </w:rPr>
        <w:t xml:space="preserve">. وتُحمَّل الخسائر بنسبة الحصص، في حدود مسؤولية الشريك عن حصته.</w:t>
      </w:r>
    </w:p>
    <w:p>
      <w:pPr>
        <w:pStyle w:val="Heading1"/>
        <w:bidi/>
      </w:pPr>
      <w:commentRangeStart w:id="7"/>
      <w:r>
        <w:rPr>
          <w:rtl/>
        </w:rPr>
        <w:t xml:space="preserve">البند (9): التنازل عن الحصص والأولوية</w:t>
      </w:r>
      <w:commentRangeEnd w:id="7"/>
      <w:r>
        <w:rPr>
          <w:rtl/>
        </w:rPr>
        <w:commentReference w:id="7"/>
      </w:r>
    </w:p>
    <w:p>
      <w:pPr>
        <w:bidi/>
      </w:pPr>
      <w:r>
        <w:rPr>
          <w:rtl/>
        </w:rPr>
        <w:t xml:space="preserve">لا يتنازل شريك عن حصته للغير إلا بعد عرضها على باقي الشركاء بالشروط المعروضة عليه. ومهلة الرد </w:t>
      </w:r>
      <w:r>
        <w:rPr>
          <w:highlight w:val="yellow"/>
          <w:rtl/>
        </w:rPr>
        <w:t xml:space="preserve">[</w:t>
      </w:r>
      <w:r>
        <w:rPr>
          <w:highlight w:val="yellow"/>
          <w:rtl/>
        </w:rPr>
        <w:t xml:space="preserve">●</w:t>
      </w:r>
      <w:r>
        <w:rPr>
          <w:highlight w:val="yellow"/>
          <w:rtl/>
        </w:rPr>
        <w:t xml:space="preserve">]</w:t>
      </w:r>
      <w:r>
        <w:rPr>
          <w:rtl/>
        </w:rPr>
        <w:t xml:space="preserve"> يوماً. وإذا انقضت المهلة من غير شراء جاز التنازل للغير بتلك الشروط.</w:t>
      </w:r>
    </w:p>
    <w:p>
      <w:pPr>
        <w:pStyle w:val="Heading1"/>
        <w:bidi/>
      </w:pPr>
      <w:commentRangeStart w:id="8"/>
      <w:r>
        <w:rPr>
          <w:rtl/>
        </w:rPr>
        <w:t xml:space="preserve">البند (10): الانقضاء والتصفية</w:t>
      </w:r>
      <w:commentRangeEnd w:id="8"/>
      <w:r>
        <w:rPr>
          <w:rtl/>
        </w:rPr>
        <w:commentReference w:id="8"/>
      </w:r>
    </w:p>
    <w:p>
      <w:pPr>
        <w:bidi/>
      </w:pPr>
      <w:r>
        <w:rPr>
          <w:rtl/>
        </w:rPr>
        <w:t xml:space="preserve">تنقضي الشركة بانقضاء مدتها، أو باتفاق الشركاء، أو بسبب آخر يقبله القيد. ويصفّيها </w:t>
      </w:r>
      <w:r>
        <w:rPr>
          <w:highlight w:val="yellow"/>
          <w:rtl/>
        </w:rPr>
        <w:t xml:space="preserve">[</w:t>
      </w:r>
      <w:r>
        <w:rPr>
          <w:highlight w:val="yellow"/>
          <w:rtl/>
        </w:rPr>
        <w:t xml:space="preserve">المصفي</w:t>
      </w:r>
      <w:r>
        <w:rPr>
          <w:highlight w:val="yellow"/>
          <w:rtl/>
        </w:rPr>
        <w:t xml:space="preserve">]</w:t>
      </w:r>
      <w:r>
        <w:rPr>
          <w:rtl/>
        </w:rPr>
        <w:t xml:space="preserve">، وتوزَّع حصيلة التصفية بعد سداد الديون بنسبة الحصص.</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الشريك الأول: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الحصص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الشريك الثاني: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الحصص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نظام الشركات مقيّد الوصول من خارج المملكة. والجملة التالية هي ما يُعمل به إلى أن يُقرأ المتن.</w:t>
      </w:r>
      <w:r>
        <w:rPr>
          <w:rtl/>
        </w:rPr>
        <w:t xml:space="preserve"> [1][2]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النظام</w:t>
            </w:r>
          </w:p>
        </w:tc>
        <w:tc>
          <w:tcPr>
            <w:tcMar>
              <w:top w:type="dxa" w:w="80"/>
              <w:left w:type="dxa" w:w="100"/>
              <w:bottom w:type="dxa" w:w="80"/>
              <w:right w:type="dxa" w:w="100"/>
            </w:tcMar>
          </w:tcPr>
          <w:p>
            <w:pPr>
              <w:bidi/>
              <w:spacing w:after="0"/>
            </w:pPr>
            <w:r>
              <w:rPr>
                <w:b w:val="false"/>
                <w:sz w:val="18"/>
                <w:szCs w:val="18"/>
                <w:rtl/>
              </w:rPr>
              <w:t xml:space="preserve">نظام الشركات صادر بالمرسوم الملكي رقم (م/132) وتاريخ 1443/12/1هـ، ومن أبوابه الشركة ذات المسؤولية المحدودة.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مستند الشركة</w:t>
            </w:r>
          </w:p>
        </w:tc>
        <w:tc>
          <w:tcPr>
            <w:tcMar>
              <w:top w:type="dxa" w:w="80"/>
              <w:left w:type="dxa" w:w="100"/>
              <w:bottom w:type="dxa" w:w="80"/>
              <w:right w:type="dxa" w:w="100"/>
            </w:tcMar>
          </w:tcPr>
          <w:p>
            <w:pPr>
              <w:bidi/>
              <w:spacing w:after="0"/>
            </w:pPr>
            <w:r>
              <w:rPr>
                <w:b w:val="false"/>
                <w:sz w:val="18"/>
                <w:szCs w:val="18"/>
                <w:rtl/>
              </w:rPr>
              <w:t xml:space="preserve">أسّسوا عبر المركز السعودي للأعمال واستعملوا المستندات التي يولّدها. وهذه الصفحة لا تسمّي المستند بعقد تأسيس أو بنظام أساس على أنه لفظ المادة.</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ما لا يُذكر</w:t>
            </w:r>
          </w:p>
        </w:tc>
        <w:tc>
          <w:tcPr>
            <w:tcMar>
              <w:top w:type="dxa" w:w="80"/>
              <w:left w:type="dxa" w:w="100"/>
              <w:bottom w:type="dxa" w:w="80"/>
              <w:right w:type="dxa" w:w="100"/>
            </w:tcMar>
          </w:tcPr>
          <w:p>
            <w:pPr>
              <w:bidi/>
              <w:spacing w:after="0"/>
            </w:pPr>
            <w:r>
              <w:rPr>
                <w:b w:val="false"/>
                <w:sz w:val="18"/>
                <w:szCs w:val="18"/>
                <w:rtl/>
              </w:rPr>
              <w:t xml:space="preserve">لا حدّ أدنى لرأس المال، ولا نسبة احتياطي، ولا نصاب، ولا حدّ لعدد الشركاء، في هذا النموذج.</w:t>
            </w:r>
          </w:p>
        </w:tc>
      </w:tr>
    </w:tbl>
    <w:p>
      <w:pPr>
        <w:bidi/>
      </w:pPr>
    </w:p>
    <w:p>
      <w:pPr>
        <w:pStyle w:val="Heading1"/>
        <w:pageBreakBefore/>
        <w:bidi/>
      </w:pPr>
      <w:r>
        <w:rPr>
          <w:rtl/>
        </w:rPr>
        <w:t xml:space="preserve">ملاحظات عن الإمارات العربية المتحدة</w:t>
      </w:r>
    </w:p>
    <w:p>
      <w:pPr>
        <w:bidi/>
      </w:pPr>
      <w:r>
        <w:rPr>
          <w:rtl/>
        </w:rPr>
        <w:t xml:space="preserve">رابط القانون من غير أرقام مواد، كما في صفحة البوابة الرسمية التي تسمّي المرسوم.</w:t>
      </w:r>
      <w:r>
        <w:rPr>
          <w:rtl/>
        </w:rPr>
        <w:t xml:space="preserve"> [3][4]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القانون</w:t>
            </w:r>
          </w:p>
        </w:tc>
        <w:tc>
          <w:tcPr>
            <w:tcMar>
              <w:top w:type="dxa" w:w="80"/>
              <w:left w:type="dxa" w:w="100"/>
              <w:bottom w:type="dxa" w:w="80"/>
              <w:right w:type="dxa" w:w="100"/>
            </w:tcMar>
          </w:tcPr>
          <w:p>
            <w:pPr>
              <w:bidi/>
              <w:spacing w:after="0"/>
            </w:pPr>
            <w:r>
              <w:rPr>
                <w:b w:val="false"/>
                <w:sz w:val="18"/>
                <w:szCs w:val="18"/>
                <w:rtl/>
              </w:rPr>
              <w:t xml:space="preserve">قانون الشركات التجارية: مرسوم بقانون اتحادي رقم (32) لسنة 2021، كما تسمّيه بوابة حكومة الإمارات.</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المستند الملزم</w:t>
            </w:r>
          </w:p>
        </w:tc>
        <w:tc>
          <w:tcPr>
            <w:tcMar>
              <w:top w:type="dxa" w:w="80"/>
              <w:left w:type="dxa" w:w="100"/>
              <w:bottom w:type="dxa" w:w="80"/>
              <w:right w:type="dxa" w:w="100"/>
            </w:tcMar>
          </w:tcPr>
          <w:p>
            <w:pPr>
              <w:bidi/>
              <w:spacing w:after="0"/>
            </w:pPr>
            <w:r>
              <w:rPr>
                <w:b w:val="false"/>
                <w:sz w:val="18"/>
                <w:szCs w:val="18"/>
                <w:rtl/>
              </w:rPr>
              <w:t xml:space="preserve">نموذج الجهة التي تقيد الشركة، لا هذه القائمة.</w:t>
            </w:r>
          </w:p>
        </w:tc>
      </w:tr>
      <w:tr>
        <w:trPr>
          <w:cantSplit/>
        </w:trPr>
        <w:tc>
          <w:tcPr>
            <w:tcMar>
              <w:top w:type="dxa" w:w="80"/>
              <w:left w:type="dxa" w:w="100"/>
              <w:bottom w:type="dxa" w:w="80"/>
              <w:right w:type="dxa" w:w="100"/>
            </w:tcMar>
          </w:tcPr>
          <w:p>
            <w:pPr>
              <w:bidi/>
              <w:spacing w:after="0"/>
            </w:pPr>
            <w:r>
              <w:rPr>
                <w:b w:val="false"/>
                <w:sz w:val="18"/>
                <w:szCs w:val="18"/>
                <w:rtl/>
              </w:rPr>
              <w:t xml:space="preserve">النشر</w:t>
            </w:r>
          </w:p>
        </w:tc>
        <w:tc>
          <w:tcPr>
            <w:tcMar>
              <w:top w:type="dxa" w:w="80"/>
              <w:left w:type="dxa" w:w="100"/>
              <w:bottom w:type="dxa" w:w="80"/>
              <w:right w:type="dxa" w:w="100"/>
            </w:tcMar>
          </w:tcPr>
          <w:p>
            <w:pPr>
              <w:bidi/>
              <w:spacing w:after="0"/>
            </w:pPr>
            <w:r>
              <w:rPr>
                <w:b w:val="false"/>
                <w:sz w:val="18"/>
                <w:szCs w:val="18"/>
                <w:rtl/>
              </w:rPr>
              <w:t xml:space="preserve">التشريع الاتحادي يُطلب من منصة التشريعات، وترشد البوابة إلى موضعه.</w:t>
            </w:r>
            <w:r>
              <w:rPr>
                <w:b w:val="false"/>
                <w:sz w:val="18"/>
                <w:szCs w:val="18"/>
                <w:rtl/>
              </w:rPr>
              <w:t xml:space="preserve"> [4]</w:t>
            </w:r>
          </w:p>
        </w:tc>
      </w:tr>
    </w:tbl>
    <w:p>
      <w:pPr>
        <w:bidi/>
      </w:pPr>
    </w:p>
    <w:p>
      <w:pPr>
        <w:pStyle w:val="Heading1"/>
        <w:pageBreakBefore/>
        <w:bidi/>
      </w:pPr>
      <w:r>
        <w:rPr>
          <w:rtl/>
        </w:rPr>
        <w:t xml:space="preserve">الملحق (1): رأس المال والحصص</w:t>
      </w:r>
    </w:p>
    <w:p>
      <w:pPr>
        <w:bidi/>
      </w:pPr>
      <w:r>
        <w:rPr>
          <w:rtl/>
        </w:rPr>
        <w:t xml:space="preserve">اجمعوا النسب إلى مئة. وقوّموا الحصة العينية كتابةً.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الشريك</w:t>
            </w:r>
          </w:p>
        </w:tc>
        <w:tc>
          <w:tcPr>
            <w:shd w:fill="EDEDED" w:color="auto" w:val="clear"/>
            <w:tcMar>
              <w:top w:type="dxa" w:w="80"/>
              <w:left w:type="dxa" w:w="100"/>
              <w:bottom w:type="dxa" w:w="80"/>
              <w:right w:type="dxa" w:w="100"/>
            </w:tcMar>
          </w:tcPr>
          <w:p>
            <w:pPr>
              <w:bidi/>
              <w:spacing w:after="0"/>
            </w:pPr>
            <w:r>
              <w:rPr>
                <w:b/>
                <w:bCs/>
                <w:sz w:val="18"/>
                <w:szCs w:val="18"/>
                <w:rtl/>
              </w:rPr>
              <w:t xml:space="preserve">النقد</w:t>
            </w:r>
          </w:p>
        </w:tc>
        <w:tc>
          <w:tcPr>
            <w:shd w:fill="EDEDED" w:color="auto" w:val="clear"/>
            <w:tcMar>
              <w:top w:type="dxa" w:w="80"/>
              <w:left w:type="dxa" w:w="100"/>
              <w:bottom w:type="dxa" w:w="80"/>
              <w:right w:type="dxa" w:w="100"/>
            </w:tcMar>
          </w:tcPr>
          <w:p>
            <w:pPr>
              <w:bidi/>
              <w:spacing w:after="0"/>
            </w:pPr>
            <w:r>
              <w:rPr>
                <w:b/>
                <w:bCs/>
                <w:sz w:val="18"/>
                <w:szCs w:val="18"/>
                <w:rtl/>
              </w:rPr>
              <w:t xml:space="preserve">العين</w:t>
            </w:r>
          </w:p>
        </w:tc>
        <w:tc>
          <w:tcPr>
            <w:shd w:fill="EDEDED" w:color="auto" w:val="clear"/>
            <w:tcMar>
              <w:top w:type="dxa" w:w="80"/>
              <w:left w:type="dxa" w:w="100"/>
              <w:bottom w:type="dxa" w:w="80"/>
              <w:right w:type="dxa" w:w="100"/>
            </w:tcMar>
          </w:tcPr>
          <w:p>
            <w:pPr>
              <w:bidi/>
              <w:spacing w:after="0"/>
            </w:pPr>
            <w:r>
              <w:rPr>
                <w:b/>
                <w:bCs/>
                <w:sz w:val="18"/>
                <w:szCs w:val="18"/>
                <w:rtl/>
              </w:rPr>
              <w:t xml:space="preserve">عدد الحصص</w:t>
            </w:r>
          </w:p>
        </w:tc>
        <w:tc>
          <w:tcPr>
            <w:shd w:fill="EDEDED" w:color="auto" w:val="clear"/>
            <w:tcMar>
              <w:top w:type="dxa" w:w="80"/>
              <w:left w:type="dxa" w:w="100"/>
              <w:bottom w:type="dxa" w:w="80"/>
              <w:right w:type="dxa" w:w="100"/>
            </w:tcMar>
          </w:tcPr>
          <w:p>
            <w:pPr>
              <w:bidi/>
              <w:spacing w:after="0"/>
            </w:pPr>
            <w:r>
              <w:rPr>
                <w:b/>
                <w:bCs/>
                <w:sz w:val="18"/>
                <w:szCs w:val="18"/>
                <w:rtl/>
              </w:rPr>
              <w:t xml:space="preserve">النسبة</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الشريك الأول</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وصف العين وقيمتها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عدد الحصص</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النسبة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الشريك الثاني</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المجموع</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rtl/>
              </w:rPr>
              <w:t xml:space="preserve">100٪</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mcilauimgyuztidth1due">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‪https://www.qanu.ai/ar/نماذج/نموذج-عقد-تأسيس-شركة‬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ge92prlltjvyb5wwtl5yx">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المركز السعودي للأعمال، منصة التأسيس (الوصول مقيّد خارج المملكة) </w:t>
      </w:r>
      <w:hyperlink w:history="1" r:id="rId_t3si4oax4mxtnev6i4fb">
        <w:r>
          <w:rPr>
            <w:rStyle w:val="Hyperlink"/>
            <w:sz w:val="16"/>
            <w:szCs w:val="16"/>
          </w:rPr>
          <w:t xml:space="preserve">https://business.sa/</w:t>
        </w:r>
      </w:hyperlink>
    </w:p>
    <w:p>
      <w:pPr>
        <w:bidi/>
        <w:ind w:start="360" w:hanging="360"/>
      </w:pPr>
      <w:r>
        <w:rPr>
          <w:sz w:val="18"/>
          <w:szCs w:val="18"/>
          <w:rtl/>
        </w:rPr>
        <w:t xml:space="preserve">[3] البوابة الرسمية لحكومة الإمارات (u.ae)، قانون الشركات التجارية (مرسوم بقانون اتحادي رقم 32 لسنة 2021) </w:t>
      </w:r>
      <w:hyperlink w:history="1" r:id="rIdp3vww0nrpea3q_6jk1g4z">
        <w:r>
          <w:rPr>
            <w:rStyle w:val="Hyperlink"/>
            <w:sz w:val="16"/>
            <w:szCs w:val="16"/>
          </w:rPr>
          <w:t xml:space="preserve">https://u.ae/en/information-and-services/business/Doing-business/doing-business-on-the-mainland/full-foreign-ownership-of-commercial-companies</w:t>
        </w:r>
      </w:hyperlink>
    </w:p>
    <w:p>
      <w:pPr>
        <w:bidi/>
        <w:ind w:start="360" w:hanging="360"/>
      </w:pPr>
      <w:r>
        <w:rPr>
          <w:sz w:val="18"/>
          <w:szCs w:val="18"/>
          <w:rtl/>
        </w:rPr>
        <w:t xml:space="preserve">[4] البوابة الرسمية لحكومة الإمارات (u.ae)، أين تُنشر القوانين الاتحادية </w:t>
      </w:r>
      <w:hyperlink w:history="1" r:id="rId8esxlce2lb8hrchtfz4dr">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تحققوا من جواز الاسم لدى جهة القيد قبل طباعته على أوراق أو لوحات.</w:t>
      </w:r>
    </w:p>
  </w:comment>
  <w:comment w:id="1" w:initials="Q" w:author="Qanu" w:date="2026-10-17T00:00:00.000Z">
    <w:p>
      <w:pPr>
        <w:bidi/>
      </w:pPr>
      <w:r>
        <w:rPr>
          <w:b/>
          <w:bCs/>
          <w:rtl/>
        </w:rPr>
        <w:t xml:space="preserve">ملاحظة صياغة</w:t>
      </w:r>
    </w:p>
    <w:p>
      <w:pPr>
        <w:bidi/>
      </w:pPr>
      <w:r>
        <w:rPr>
          <w:rtl/>
        </w:rPr>
        <w:t xml:space="preserve">هذه القائمة لا تمنح ترخيصاً. واربطوا كل نشاط برمزه لدى جهة الترخيص إذا كانت تطلب رمزاً.</w:t>
      </w:r>
    </w:p>
  </w:comment>
  <w:comment w:id="2" w:initials="Q" w:author="Qanu" w:date="2026-10-17T00:00:00.000Z">
    <w:p>
      <w:pPr>
        <w:bidi/>
      </w:pPr>
      <w:r>
        <w:rPr>
          <w:b/>
          <w:bCs/>
          <w:rtl/>
        </w:rPr>
        <w:t xml:space="preserve">ملاحظة صياغة</w:t>
      </w:r>
    </w:p>
    <w:p>
      <w:pPr>
        <w:bidi/>
      </w:pPr>
      <w:r>
        <w:rPr>
          <w:rtl/>
        </w:rPr>
        <w:t xml:space="preserve">لا تُذكر هنا مدة نظامية جاهزة. خذوا المدة من نموذج جهة التأسيس.</w:t>
      </w:r>
    </w:p>
  </w:comment>
  <w:comment w:id="3" w:initials="Q" w:author="Qanu" w:date="2026-10-17T00:00:00.000Z">
    <w:p>
      <w:pPr>
        <w:bidi/>
      </w:pPr>
      <w:r>
        <w:rPr>
          <w:b/>
          <w:bCs/>
          <w:rtl/>
        </w:rPr>
        <w:t xml:space="preserve">ملاحظة صياغة</w:t>
      </w:r>
    </w:p>
    <w:p>
      <w:pPr>
        <w:bidi/>
      </w:pPr>
      <w:r>
        <w:rPr>
          <w:rtl/>
        </w:rPr>
        <w:t xml:space="preserve">لا تذكر هذه الصفحة حداً أدنى لرأس المال، ولا سقفاً لعدد الشركاء. فذلك يتوقف على النشاط وعلى جهة القيد. وتحققوا منه في منصة التأسيس.</w:t>
      </w:r>
    </w:p>
  </w:comment>
  <w:comment w:id="4" w:initials="Q" w:author="Qanu" w:date="2026-10-17T00:00:00.000Z">
    <w:p>
      <w:pPr>
        <w:bidi/>
      </w:pPr>
      <w:r>
        <w:rPr>
          <w:b/>
          <w:bCs/>
          <w:rtl/>
        </w:rPr>
        <w:t xml:space="preserve">ملاحظة صياغة</w:t>
      </w:r>
    </w:p>
    <w:p>
      <w:pPr>
        <w:bidi/>
      </w:pPr>
      <w:r>
        <w:rPr>
          <w:rtl/>
        </w:rPr>
        <w:t xml:space="preserve">انقلوا الصلاحيات إلى النموذج الرسمي كما تقبلها جهة القيد. ولا تفترضوا أن قائمة هنا تُقيَّد كما كُتبت.</w:t>
      </w:r>
    </w:p>
  </w:comment>
  <w:comment w:id="5" w:initials="Q" w:author="Qanu" w:date="2026-10-17T00:00:00.000Z">
    <w:p>
      <w:pPr>
        <w:bidi/>
      </w:pPr>
      <w:r>
        <w:rPr>
          <w:b/>
          <w:bCs/>
          <w:rtl/>
        </w:rPr>
        <w:t xml:space="preserve">ملاحظة صياغة</w:t>
      </w:r>
    </w:p>
    <w:p>
      <w:pPr>
        <w:bidi/>
      </w:pPr>
      <w:r>
        <w:rPr>
          <w:rtl/>
        </w:rPr>
        <w:t xml:space="preserve">لا يضع هذا النموذج نصاباً ولا أغلبية من عند نفسه. ولم تُقرأ أرقام النظام من خارج المملكة.</w:t>
      </w:r>
    </w:p>
  </w:comment>
  <w:comment w:id="6" w:initials="Q" w:author="Qanu" w:date="2026-10-17T00:00:00.000Z">
    <w:p>
      <w:pPr>
        <w:bidi/>
      </w:pPr>
      <w:r>
        <w:rPr>
          <w:b/>
          <w:bCs/>
          <w:rtl/>
        </w:rPr>
        <w:t xml:space="preserve">ملاحظة صياغة</w:t>
      </w:r>
    </w:p>
    <w:p>
      <w:pPr>
        <w:bidi/>
      </w:pPr>
      <w:r>
        <w:rPr>
          <w:rtl/>
        </w:rPr>
        <w:t xml:space="preserve">لا تُذكر هنا نسبة احتياطي نظامي. خذوها من نموذج جهة التأسيس إذا كان النموذج يطلبها.</w:t>
      </w:r>
    </w:p>
  </w:comment>
  <w:comment w:id="7" w:initials="Q" w:author="Qanu" w:date="2026-10-17T00:00:00.000Z">
    <w:p>
      <w:pPr>
        <w:bidi/>
      </w:pPr>
      <w:r>
        <w:rPr>
          <w:b/>
          <w:bCs/>
          <w:rtl/>
        </w:rPr>
        <w:t xml:space="preserve">ملاحظة صياغة</w:t>
      </w:r>
    </w:p>
    <w:p>
      <w:pPr>
        <w:bidi/>
      </w:pPr>
      <w:r>
        <w:rPr>
          <w:rtl/>
        </w:rPr>
        <w:t xml:space="preserve">قيود التنازل في النموذج الرسمي قد تختلف. فاكتبوا ما تتفقون عليه هنا، ثم طابقوه مع نموذج القيد.</w:t>
      </w:r>
    </w:p>
  </w:comment>
  <w:comment w:id="8" w:initials="Q" w:author="Qanu" w:date="2026-10-17T00:00:00.000Z">
    <w:p>
      <w:pPr>
        <w:bidi/>
      </w:pPr>
      <w:r>
        <w:rPr>
          <w:b/>
          <w:bCs/>
          <w:rtl/>
        </w:rPr>
        <w:t xml:space="preserve">ملاحظة صياغة</w:t>
      </w:r>
    </w:p>
    <w:p>
      <w:pPr>
        <w:bidi/>
      </w:pPr>
      <w:r>
        <w:rPr>
          <w:rtl/>
        </w:rPr>
        <w:t xml:space="preserve">التوقيع على هذه القائمة لا يقيد الشركة. والقيد هو ما يتم في المركز السعودي للأعمال أو لدى جهة القيد في الدولة الأخرى.</w:t>
      </w:r>
      <w:r>
        <w:rPr>
          <w:rtl/>
        </w:rPr>
        <w:t xml:space="preserve"> [2]</w:t>
      </w:r>
      <w:r>
        <w:rPr>
          <w:rtl/>
        </w:rPr>
        <w:t xml:space="preserve"> وللتعريف انظروا </w:t>
      </w:r>
      <w:hyperlink w:history="1" r:id="rIdoiulsc9cirtximybbpftw">
        <w:r>
          <w:rPr>
            <w:rStyle w:val="Hyperlink"/>
            <w:rtl/>
          </w:rPr>
          <w:t xml:space="preserve">عقد التأسيس</w:t>
        </w:r>
      </w:hyperlink>
      <w:r>
        <w:rPr>
          <w:rtl/>
        </w:rPr>
        <w:t xml:space="preserve"> و</w:t>
      </w:r>
      <w:hyperlink w:history="1" r:id="rIdeo-wtxgiodwbq37a-b5m9">
        <w:r>
          <w:rPr>
            <w:rStyle w:val="Hyperlink"/>
            <w:rtl/>
          </w:rPr>
          <w:t xml:space="preserve">النظام الأساسي</w:t>
        </w:r>
      </w:hyperlink>
      <w:r>
        <w:rPr>
          <w:rtl/>
        </w:rPr>
        <w:t xml:space="preserve"> و</w:t>
      </w:r>
      <w:hyperlink w:history="1" r:id="rIdea3kykcm-ykvwepjytz3i">
        <w:r>
          <w:rPr>
            <w:rStyle w:val="Hyperlink"/>
            <w:rtl/>
          </w:rPr>
          <w:t xml:space="preserve">الشركة ذات المسؤولية المحدودة</w:t>
        </w:r>
      </w:hyperlink>
      <w:r>
        <w:rPr>
          <w:rtl/>
        </w:rPr>
        <w:t xml:space="preserve"> و</w:t>
      </w:r>
      <w:hyperlink w:history="1" r:id="rIdxsqblmkmigktccphqj5vn">
        <w:r>
          <w:rPr>
            <w:rStyle w:val="Hyperlink"/>
            <w:rtl/>
          </w:rPr>
          <w:t xml:space="preserve">السجل التجاري</w:t>
        </w:r>
      </w:hyperlink>
      <w:r>
        <w:rPr>
          <w:rtl/>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845A2E26-8C29-0C67-1178-7E78FFA0CD80}"/>
    <w:embedBold r:id="rId2" w:fontKey="{09789E9C-22E5-B6C7-AAAA-A730DF184F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‪https://www.qanu.ai/ar/نماذج/نموذج-عقد-تأسيس-شركة‬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‪https://www.qanu.ai/ar/نماذج/نموذج-عقد-تأسيس-شركة‬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oiulsc9cirtximybbpftw" Type="http://schemas.openxmlformats.org/officeDocument/2006/relationships/hyperlink" Target="https://www.qanu.ai/ar/%D9%85%D8%B3%D8%B1%D8%AF-%D9%82%D8%A7%D9%86%D9%88%D9%86%D9%8A/%D8%B9%D9%82%D8%AF-%D8%AA%D8%A3%D8%B3%D9%8A%D8%B3" TargetMode="External"/><Relationship Id="rIdeo-wtxgiodwbq37a-b5m9" Type="http://schemas.openxmlformats.org/officeDocument/2006/relationships/hyperlink" Target="https://www.qanu.ai/ar/%D9%85%D8%B3%D8%B1%D8%AF-%D9%82%D8%A7%D9%86%D9%88%D9%86%D9%8A/%D9%86%D8%B8%D8%A7%D9%85-%D8%A3%D8%B3%D8%A7%D8%B3%D9%8A" TargetMode="External"/><Relationship Id="rIdea3kykcm-ykvwepjytz3i" Type="http://schemas.openxmlformats.org/officeDocument/2006/relationships/hyperlink" Target="https://www.qanu.ai/ar/%D9%85%D8%B3%D8%B1%D8%AF-%D9%82%D8%A7%D9%86%D9%88%D9%86%D9%8A/%D8%B4%D8%B1%D9%83%D8%A9-%D8%B0%D8%A7%D8%AA-%D9%85%D8%B3%D8%A4%D9%88%D9%84%D9%8A%D8%A9-%D9%85%D8%AD%D8%AF%D9%88%D8%AF%D8%A9" TargetMode="External"/><Relationship Id="rIdxsqblmkmigktccphqj5vn" Type="http://schemas.openxmlformats.org/officeDocument/2006/relationships/hyperlink" Target="https://www.qanu.ai/ar/%D9%85%D8%B3%D8%B1%D8%AF-%D9%82%D8%A7%D9%86%D9%88%D9%86%D9%8A/%D8%B3%D8%AC%D9%84-%D8%AA%D8%AC%D8%A7%D8%B1%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pgfk07_fk-ungkgglq13m" Type="http://schemas.openxmlformats.org/officeDocument/2006/relationships/hyperlink" Target="https://www.qanu.ai/ar/%D9%86%D9%85%D8%A7%D8%B0%D8%AC/%D9%86%D9%85%D9%88%D8%B0%D8%AC-%D8%B9%D9%82%D8%AF-%D8%B4%D8%B1%D8%A7%D9%83%D8%A9" TargetMode="External"/><Relationship Id="rId3stourqp87pf7ahti_6gy" Type="http://schemas.openxmlformats.org/officeDocument/2006/relationships/hyperlink" Target="https://laws.boe.gov.sa/BoeLaws/Laws/LawDetails/a8376aea-1bc3-49d4-9027-aed900b555af/1" TargetMode="External"/><Relationship Id="rIdni5mgbjaen4fly2fdn0u-" Type="http://schemas.openxmlformats.org/officeDocument/2006/relationships/hyperlink" Target="https://business.sa/" TargetMode="External"/><Relationship Id="rIdkfkn9xvhtmkrp9lbbnejc" Type="http://schemas.openxmlformats.org/officeDocument/2006/relationships/hyperlink" Target="https://u.ae/en/information-and-services/business/Doing-business/doing-business-on-the-mainland/full-foreign-ownership-of-commercial-companies" TargetMode="External"/><Relationship Id="rIdmcilauimgyuztidth1due" Type="http://schemas.openxmlformats.org/officeDocument/2006/relationships/hyperlink" Target="https://creativecommons.org/licenses/by/4.0/deed.ar" TargetMode="External"/><Relationship Id="rIdge92prlltjvyb5wwtl5yx" Type="http://schemas.openxmlformats.org/officeDocument/2006/relationships/hyperlink" Target="https://laws.boe.gov.sa/BoeLaws/Laws/LawDetails/a8376aea-1bc3-49d4-9027-aed900b555af/1" TargetMode="External"/><Relationship Id="rId_t3si4oax4mxtnev6i4fb" Type="http://schemas.openxmlformats.org/officeDocument/2006/relationships/hyperlink" Target="https://business.sa/" TargetMode="External"/><Relationship Id="rIdp3vww0nrpea3q_6jk1g4z" Type="http://schemas.openxmlformats.org/officeDocument/2006/relationships/hyperlink" Target="https://u.ae/en/information-and-services/business/Doing-business/doing-business-on-the-mainland/full-foreign-ownership-of-commercial-companies" TargetMode="External"/><Relationship Id="rId8esxlce2lb8hrchtfz4dr" Type="http://schemas.openxmlformats.org/officeDocument/2006/relationships/hyperlink" Target="https://u.ae/en/information-and-services/justice-safety-and-the-law/Law/how-are-uae-laws-issued-and-how-to-find-them/where-to-find-uae-federal-laws"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تأسيس شركة ذات مسؤولية محدودة</dc:title>
  <dc:creator>Qanu</dc:creator>
  <cp:keywords>عقد تأسيس, شركة ذات مسؤولية محدودة, سجل تجاري,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2026-10-17T19:21:01.792Z</dcterms:created>
  <dcterms:modified xsi:type="dcterms:W3CDTF">2026-10-17T19:21:01.792Z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https://www.qanu.ai/ar/نماذج/نموذج-عقد-تأسيس-شركة</vt:lpwstr>
  </property>
</Properties>
</file>