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Incorporation, and the binding document, come from the official registrar.</w:t>
      </w:r>
      <w:r>
        <w:rPr>
          <w:rtl w:val="false"/>
        </w:rPr>
        <w:t xml:space="preserve"> This is a founders’ checklist, not incorporation. In Saudi Arabia, incorporate through the Saudi Business Center and use the documents it generates.</w:t>
      </w:r>
      <w:r>
        <w:rPr>
          <w:rtl w:val="false"/>
        </w:rPr>
        <w:t xml:space="preserve"> [2]</w:t>
      </w:r>
      <w:r>
        <w:rPr>
          <w:rtl w:val="false"/>
        </w:rPr>
        <w:t xml:space="preserve"> The Companies Law, Royal Decree No. M/132 dated 1/12/1443H, sets the company forms, including the limited liability company.</w:t>
      </w:r>
      <w:r>
        <w:rPr>
          <w:rtl w:val="false"/>
        </w:rPr>
        <w:t xml:space="preserve"> [1]</w:t>
      </w:r>
      <w:r>
        <w:rPr>
          <w:rtl w:val="false"/>
        </w:rPr>
        <w:t xml:space="preserve"> The article text was not readable from outside Saudi Arabia, so this page does not state whether the statute calls the company’s document a memorandum or articles. In the UAE, companies are governed by the Commercial Companies Law, Federal Decree-Law No. 32 of 2021, and the binding document is the form of the authority that registers the company.</w:t>
      </w:r>
      <w:r>
        <w:rPr>
          <w:rtl w:val="false"/>
        </w:rPr>
        <w:t xml:space="preserve"> [3]</w:t>
      </w:r>
      <w:r>
        <w:rPr>
          <w:rtl w:val="false"/>
        </w:rPr>
        <w:t xml:space="preserve"> A </w:t>
      </w:r>
      <w:hyperlink w:history="1" r:id="rIdgi_jz84qc2fc1ir1umo43">
        <w:r>
          <w:rPr>
            <w:rStyle w:val="Hyperlink"/>
            <w:rtl w:val="false"/>
          </w:rPr>
          <w:t xml:space="preserve">partnership agreement</w:t>
        </w:r>
      </w:hyperlink>
      <w:r>
        <w:rPr>
          <w:rtl w:val="false"/>
        </w:rPr>
        <w:t xml:space="preserve"> does not create a company.</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Companies Law: </w:t>
      </w:r>
      <w:hyperlink w:history="1" r:id="rIdfyfiqydgbd8sc3wg1h3o1">
        <w:r>
          <w:rPr>
            <w:rStyle w:val="Hyperlink"/>
            <w:sz w:val="17"/>
            <w:szCs w:val="17"/>
          </w:rPr>
          <w:t xml:space="preserve">https://laws.boe.gov.sa/BoeLaws/Laws/LawDetails/a8376aea-1bc3-49d4-9027-aed900b555af/1</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Saudi Business Center: </w:t>
      </w:r>
      <w:hyperlink w:history="1" r:id="rIdgk3arjlkvn0xadnwqju8y">
        <w:r>
          <w:rPr>
            <w:rStyle w:val="Hyperlink"/>
            <w:sz w:val="17"/>
            <w:szCs w:val="17"/>
          </w:rPr>
          <w:t xml:space="preserve">https://business.sa/</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UAE Commercial Companies Law: </w:t>
      </w:r>
      <w:hyperlink w:history="1" r:id="rIdgtztt6tw4phx72ss4sipb">
        <w:r>
          <w:rPr>
            <w:rStyle w:val="Hyperlink"/>
            <w:sz w:val="17"/>
            <w:szCs w:val="17"/>
          </w:rPr>
          <w:t xml:space="preserve">https://u.ae/en/information-and-services/business/Doing-business/doing-business-on-the-mainland/full-foreign-ownership-of-commercial-companies</w:t>
        </w:r>
      </w:hyperlink>
    </w:p>
    <w:p>
      <w:pPr>
        <w:bidi w:val="false"/>
        <w:spacing w:after="240"/>
      </w:pPr>
    </w:p>
    <w:p>
      <w:pPr>
        <w:pStyle w:val="Title"/>
        <w:bidi w:val="false"/>
      </w:pPr>
      <w:r>
        <w:rPr>
          <w:rtl w:val="false"/>
        </w:rPr>
        <w:t xml:space="preserve">Memorandum of association of a limited liability company</w:t>
      </w:r>
    </w:p>
    <w:p>
      <w:pPr>
        <w:bidi w:val="false"/>
        <w:spacing w:after="240"/>
      </w:pPr>
      <w:r>
        <w:rPr>
          <w:color w:val="444444"/>
          <w:rtl w:val="false"/>
        </w:rPr>
        <w:t xml:space="preserve">A founders’ checklist before incorporating a limited liability company in the GCC: name, activities, office, term, capital, management, profits, transfer and winding up. It does not incorporate the company and it does not replace the document the registrar issues. Replace every </w:t>
      </w:r>
      <w:r>
        <w:rPr>
          <w:color w:val="444444"/>
          <w:highlight w:val="yellow"/>
          <w:rtl w:val="false"/>
        </w:rPr>
        <w:t xml:space="preserve">[</w:t>
      </w:r>
      <w:r>
        <w:rPr>
          <w:color w:val="444444"/>
          <w:highlight w:val="yellow"/>
          <w:rtl w:val="false"/>
        </w:rPr>
        <w:t xml:space="preserve">placeholder</w:t>
      </w:r>
      <w:r>
        <w:rPr>
          <w:color w:val="444444"/>
          <w:highlight w:val="yellow"/>
          <w:rtl w:val="false"/>
        </w:rPr>
        <w:t xml:space="preserve">]</w:t>
      </w:r>
      <w:r>
        <w:rPr>
          <w:color w:val="444444"/>
          <w:rtl w:val="false"/>
        </w:rPr>
        <w:t xml:space="preserve">.</w:t>
      </w:r>
    </w:p>
    <w:p>
      <w:pPr>
        <w:pStyle w:val="Heading1"/>
        <w:bidi w:val="false"/>
      </w:pPr>
      <w:commentRangeStart w:id="0"/>
      <w:r>
        <w:rPr>
          <w:rtl w:val="false"/>
        </w:rPr>
        <w:t xml:space="preserve">1. Name and form</w:t>
      </w:r>
      <w:commentRangeEnd w:id="0"/>
      <w:r>
        <w:rPr>
          <w:rtl w:val="false"/>
        </w:rPr>
        <w:commentReference w:id="0"/>
      </w:r>
    </w:p>
    <w:p>
      <w:pPr>
        <w:bidi w:val="false"/>
      </w:pPr>
      <w:r>
        <w:rPr>
          <w:rtl w:val="false"/>
        </w:rPr>
        <w:t xml:space="preserve">Company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Form: limited liability company. The official document uses the name the registrar accepts.</w:t>
      </w:r>
    </w:p>
    <w:p>
      <w:pPr>
        <w:pStyle w:val="Heading1"/>
        <w:bidi w:val="false"/>
      </w:pPr>
      <w:commentRangeStart w:id="1"/>
      <w:r>
        <w:rPr>
          <w:rtl w:val="false"/>
        </w:rPr>
        <w:t xml:space="preserve">2. Objects and activities</w:t>
      </w:r>
      <w:commentRangeEnd w:id="1"/>
      <w:r>
        <w:rPr>
          <w:rtl w:val="false"/>
        </w:rPr>
        <w:commentReference w:id="1"/>
      </w:r>
    </w:p>
    <w:p>
      <w:pPr>
        <w:bidi w:val="false"/>
      </w:pPr>
      <w:r>
        <w:rPr>
          <w:rtl w:val="false"/>
        </w:rPr>
        <w:t xml:space="preserve">Objects: </w:t>
      </w:r>
      <w:r>
        <w:rPr>
          <w:highlight w:val="yellow"/>
          <w:rtl w:val="false"/>
        </w:rPr>
        <w:t xml:space="preserve">[</w:t>
      </w:r>
      <w:r>
        <w:rPr>
          <w:highlight w:val="yellow"/>
          <w:rtl w:val="false"/>
        </w:rPr>
        <w:t xml:space="preserve">describe the activities</w:t>
      </w:r>
      <w:r>
        <w:rPr>
          <w:highlight w:val="yellow"/>
          <w:rtl w:val="false"/>
        </w:rPr>
        <w:t xml:space="preserve">]</w:t>
      </w:r>
      <w:r>
        <w:rPr>
          <w:rtl w:val="false"/>
        </w:rPr>
        <w:t xml:space="preserve">. Each activity is carried on only after the licence the competent authority requires.</w:t>
      </w:r>
    </w:p>
    <w:p>
      <w:pPr>
        <w:pStyle w:val="Heading1"/>
        <w:bidi w:val="false"/>
      </w:pPr>
      <w:r>
        <w:rPr>
          <w:rtl w:val="false"/>
        </w:rPr>
        <w:t xml:space="preserve">3. Head office</w:t>
      </w:r>
    </w:p>
    <w:p>
      <w:pPr>
        <w:bidi w:val="false"/>
      </w:pPr>
      <w:r>
        <w:rPr>
          <w:rtl w:val="false"/>
        </w:rPr>
        <w:t xml:space="preserve">The head office is in </w:t>
      </w:r>
      <w:r>
        <w:rPr>
          <w:highlight w:val="yellow"/>
          <w:rtl w:val="false"/>
        </w:rPr>
        <w:t xml:space="preserve">[</w:t>
      </w:r>
      <w:r>
        <w:rPr>
          <w:highlight w:val="yellow"/>
          <w:rtl w:val="false"/>
        </w:rPr>
        <w:t xml:space="preserve">city, country</w:t>
      </w:r>
      <w:r>
        <w:rPr>
          <w:highlight w:val="yellow"/>
          <w:rtl w:val="false"/>
        </w:rPr>
        <w:t xml:space="preserve">]</w:t>
      </w:r>
      <w:r>
        <w:rPr>
          <w:rtl w:val="false"/>
        </w:rPr>
        <w:t xml:space="preserve">. The company may open branches by a decision of </w:t>
      </w:r>
      <w:r>
        <w:rPr>
          <w:highlight w:val="yellow"/>
          <w:rtl w:val="false"/>
        </w:rPr>
        <w:t xml:space="preserve">[</w:t>
      </w:r>
      <w:r>
        <w:rPr>
          <w:highlight w:val="yellow"/>
          <w:rtl w:val="false"/>
        </w:rPr>
        <w:t xml:space="preserve">the manager / the partners</w:t>
      </w:r>
      <w:r>
        <w:rPr>
          <w:highlight w:val="yellow"/>
          <w:rtl w:val="false"/>
        </w:rPr>
        <w:t xml:space="preserve">]</w:t>
      </w:r>
      <w:r>
        <w:rPr>
          <w:rtl w:val="false"/>
        </w:rPr>
        <w:t xml:space="preserve">.</w:t>
      </w:r>
    </w:p>
    <w:p>
      <w:pPr>
        <w:pStyle w:val="Heading1"/>
        <w:bidi w:val="false"/>
      </w:pPr>
      <w:commentRangeStart w:id="2"/>
      <w:r>
        <w:rPr>
          <w:rtl w:val="false"/>
        </w:rPr>
        <w:t xml:space="preserve">4. Term</w:t>
      </w:r>
      <w:commentRangeEnd w:id="2"/>
      <w:r>
        <w:rPr>
          <w:rtl w:val="false"/>
        </w:rPr>
        <w:commentReference w:id="2"/>
      </w:r>
    </w:p>
    <w:p>
      <w:pPr>
        <w:bidi w:val="false"/>
      </w:pPr>
      <w:r>
        <w:rPr>
          <w:rtl w:val="false"/>
        </w:rPr>
        <w:t xml:space="preserve">The term is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years from registration, and it renews </w:t>
      </w:r>
      <w:r>
        <w:rPr>
          <w:highlight w:val="yellow"/>
          <w:rtl w:val="false"/>
        </w:rPr>
        <w:t xml:space="preserve">[</w:t>
      </w:r>
      <w:r>
        <w:rPr>
          <w:highlight w:val="yellow"/>
          <w:rtl w:val="false"/>
        </w:rPr>
        <w:t xml:space="preserve">automatically / by decision</w:t>
      </w:r>
      <w:r>
        <w:rPr>
          <w:highlight w:val="yellow"/>
          <w:rtl w:val="false"/>
        </w:rPr>
        <w:t xml:space="preserve">]</w:t>
      </w:r>
      <w:r>
        <w:rPr>
          <w:rtl w:val="false"/>
        </w:rPr>
        <w:t xml:space="preserve"> unless the partners decide otherwise.</w:t>
      </w:r>
    </w:p>
    <w:p>
      <w:pPr>
        <w:pStyle w:val="Heading1"/>
        <w:bidi w:val="false"/>
      </w:pPr>
      <w:commentRangeStart w:id="3"/>
      <w:r>
        <w:rPr>
          <w:rtl w:val="false"/>
        </w:rPr>
        <w:t xml:space="preserve">5. Capital and shares</w:t>
      </w:r>
      <w:commentRangeEnd w:id="3"/>
      <w:r>
        <w:rPr>
          <w:rtl w:val="false"/>
        </w:rPr>
        <w:commentReference w:id="3"/>
      </w:r>
    </w:p>
    <w:p>
      <w:pPr>
        <w:bidi w:val="false"/>
      </w:pPr>
      <w:r>
        <w:rPr>
          <w:rtl w:val="false"/>
        </w:rPr>
        <w:t xml:space="preserve">The capital is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divided into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shares of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each, held as Annex 1 sets out.</w:t>
      </w:r>
    </w:p>
    <w:p>
      <w:pPr>
        <w:bidi w:val="false"/>
      </w:pPr>
      <w:r>
        <w:rPr>
          <w:rtl w:val="false"/>
        </w:rPr>
        <w:t xml:space="preserve">In-kind contribution: </w:t>
      </w:r>
      <w:r>
        <w:rPr>
          <w:highlight w:val="yellow"/>
          <w:rtl w:val="false"/>
        </w:rPr>
        <w:t xml:space="preserve">[</w:t>
      </w:r>
      <w:r>
        <w:rPr>
          <w:highlight w:val="yellow"/>
          <w:rtl w:val="false"/>
        </w:rPr>
        <w:t xml:space="preserve">describe it, who contributes it, and how it is valued</w:t>
      </w:r>
      <w:r>
        <w:rPr>
          <w:highlight w:val="yellow"/>
          <w:rtl w:val="false"/>
        </w:rPr>
        <w:t xml:space="preserve">]</w:t>
      </w:r>
      <w:r>
        <w:rPr>
          <w:rtl w:val="false"/>
        </w:rPr>
        <w:t xml:space="preserve">. Title passes to the company as the registrar requires.</w:t>
      </w:r>
    </w:p>
    <w:p>
      <w:pPr>
        <w:pStyle w:val="Heading1"/>
        <w:bidi w:val="false"/>
      </w:pPr>
      <w:commentRangeStart w:id="4"/>
      <w:r>
        <w:rPr>
          <w:rtl w:val="false"/>
        </w:rPr>
        <w:t xml:space="preserve">6. Management and the manager’s powers</w:t>
      </w:r>
      <w:commentRangeEnd w:id="4"/>
      <w:r>
        <w:rPr>
          <w:rtl w:val="false"/>
        </w:rPr>
        <w:commentReference w:id="4"/>
      </w:r>
    </w:p>
    <w:p>
      <w:pPr>
        <w:bidi w:val="false"/>
      </w:pPr>
      <w:r>
        <w:rPr>
          <w:highlight w:val="yellow"/>
          <w:rtl w:val="false"/>
        </w:rPr>
        <w:t xml:space="preserve">[</w:t>
      </w:r>
      <w:r>
        <w:rPr>
          <w:highlight w:val="yellow"/>
          <w:rtl w:val="false"/>
        </w:rPr>
        <w:t xml:space="preserve">A manager / managers</w:t>
      </w:r>
      <w:r>
        <w:rPr>
          <w:highlight w:val="yellow"/>
          <w:rtl w:val="false"/>
        </w:rPr>
        <w:t xml:space="preserve">]</w:t>
      </w:r>
      <w:r>
        <w:rPr>
          <w:rtl w:val="false"/>
        </w:rPr>
        <w:t xml:space="preserve"> manage the company: </w:t>
      </w:r>
      <w:r>
        <w:rPr>
          <w:highlight w:val="yellow"/>
          <w:rtl w:val="false"/>
        </w:rPr>
        <w:t xml:space="preserve">[</w:t>
      </w:r>
      <w:r>
        <w:rPr>
          <w:highlight w:val="yellow"/>
          <w:rtl w:val="false"/>
        </w:rPr>
        <w:t xml:space="preserve">name, ID</w:t>
      </w:r>
      <w:r>
        <w:rPr>
          <w:highlight w:val="yellow"/>
          <w:rtl w:val="false"/>
        </w:rPr>
        <w:t xml:space="preserve">]</w:t>
      </w:r>
      <w:r>
        <w:rPr>
          <w:rtl w:val="false"/>
        </w:rPr>
        <w:t xml:space="preserve">. The appointment runs for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bidi w:val="false"/>
      </w:pPr>
      <w:r>
        <w:rPr>
          <w:rtl w:val="false"/>
        </w:rPr>
        <w:t xml:space="preserve">The manager may: </w:t>
      </w:r>
      <w:r>
        <w:rPr>
          <w:highlight w:val="yellow"/>
          <w:rtl w:val="false"/>
        </w:rPr>
        <w:t xml:space="preserve">[</w:t>
      </w:r>
      <w:r>
        <w:rPr>
          <w:highlight w:val="yellow"/>
          <w:rtl w:val="false"/>
        </w:rPr>
        <w:t xml:space="preserve">day-to-day management, signing, bank accounts</w:t>
      </w:r>
      <w:r>
        <w:rPr>
          <w:highlight w:val="yellow"/>
          <w:rtl w:val="false"/>
        </w:rPr>
        <w:t xml:space="preserve">]</w:t>
      </w:r>
      <w:r>
        <w:rPr>
          <w:rtl w:val="false"/>
        </w:rPr>
        <w:t xml:space="preserve">. A partners’ decision is required for: </w:t>
      </w:r>
      <w:r>
        <w:rPr>
          <w:highlight w:val="yellow"/>
          <w:rtl w:val="false"/>
        </w:rPr>
        <w:t xml:space="preserve">[</w:t>
      </w:r>
      <w:r>
        <w:rPr>
          <w:highlight w:val="yellow"/>
          <w:rtl w:val="false"/>
        </w:rPr>
        <w:t xml:space="preserve">borrowing above ● / disposing of assets above ● / opening a branch</w:t>
      </w:r>
      <w:r>
        <w:rPr>
          <w:highlight w:val="yellow"/>
          <w:rtl w:val="false"/>
        </w:rPr>
        <w:t xml:space="preserve">]</w:t>
      </w:r>
      <w:r>
        <w:rPr>
          <w:rtl w:val="false"/>
        </w:rPr>
        <w:t xml:space="preserve">.</w:t>
      </w:r>
    </w:p>
    <w:p>
      <w:pPr>
        <w:pStyle w:val="Heading1"/>
        <w:bidi w:val="false"/>
      </w:pPr>
      <w:commentRangeStart w:id="5"/>
      <w:r>
        <w:rPr>
          <w:rtl w:val="false"/>
        </w:rPr>
        <w:t xml:space="preserve">7. Partners’ decisions</w:t>
      </w:r>
      <w:commentRangeEnd w:id="5"/>
      <w:r>
        <w:rPr>
          <w:rtl w:val="false"/>
        </w:rPr>
        <w:commentReference w:id="5"/>
      </w:r>
    </w:p>
    <w:p>
      <w:pPr>
        <w:bidi w:val="false"/>
      </w:pPr>
      <w:r>
        <w:rPr>
          <w:rtl w:val="false"/>
        </w:rPr>
        <w:t xml:space="preserve">Partners’ decisions are taken in a meeting or by circulation. Quorum and majority: </w:t>
      </w:r>
      <w:r>
        <w:rPr>
          <w:highlight w:val="yellow"/>
          <w:rtl w:val="false"/>
        </w:rPr>
        <w:t xml:space="preserve">[</w:t>
      </w:r>
      <w:r>
        <w:rPr>
          <w:highlight w:val="yellow"/>
          <w:rtl w:val="false"/>
        </w:rPr>
        <w:t xml:space="preserve">fill these from the registrar’s form; do not leave them blank at registration</w:t>
      </w:r>
      <w:r>
        <w:rPr>
          <w:highlight w:val="yellow"/>
          <w:rtl w:val="false"/>
        </w:rPr>
        <w:t xml:space="preserve">]</w:t>
      </w:r>
      <w:r>
        <w:rPr>
          <w:rtl w:val="false"/>
        </w:rPr>
        <w:t xml:space="preserve">.</w:t>
      </w:r>
    </w:p>
    <w:p>
      <w:pPr>
        <w:bidi w:val="false"/>
      </w:pPr>
      <w:r>
        <w:rPr>
          <w:rtl w:val="false"/>
        </w:rPr>
        <w:t xml:space="preserve">Decisions are written, signed and kept in the company’s record.</w:t>
      </w:r>
    </w:p>
    <w:p>
      <w:pPr>
        <w:pStyle w:val="Heading1"/>
        <w:bidi w:val="false"/>
      </w:pPr>
      <w:commentRangeStart w:id="6"/>
      <w:r>
        <w:rPr>
          <w:rtl w:val="false"/>
        </w:rPr>
        <w:t xml:space="preserve">8. Profits, reserves and losses</w:t>
      </w:r>
      <w:commentRangeEnd w:id="6"/>
      <w:r>
        <w:rPr>
          <w:rtl w:val="false"/>
        </w:rPr>
        <w:commentReference w:id="6"/>
      </w:r>
    </w:p>
    <w:p>
      <w:pPr>
        <w:bidi w:val="false"/>
      </w:pPr>
      <w:r>
        <w:rPr>
          <w:rtl w:val="false"/>
        </w:rPr>
        <w:t xml:space="preserve">Distributable profits are shared in proportion to the shares, after </w:t>
      </w:r>
      <w:r>
        <w:rPr>
          <w:highlight w:val="yellow"/>
          <w:rtl w:val="false"/>
        </w:rPr>
        <w:t xml:space="preserve">[</w:t>
      </w:r>
      <w:r>
        <w:rPr>
          <w:highlight w:val="yellow"/>
          <w:rtl w:val="false"/>
        </w:rPr>
        <w:t xml:space="preserve">what the partners agree to set aside</w:t>
      </w:r>
      <w:r>
        <w:rPr>
          <w:highlight w:val="yellow"/>
          <w:rtl w:val="false"/>
        </w:rPr>
        <w:t xml:space="preserve">]</w:t>
      </w:r>
      <w:r>
        <w:rPr>
          <w:rtl w:val="false"/>
        </w:rPr>
        <w:t xml:space="preserve">. Losses are borne in proportion to the shares, within the limit of each partner’s share.</w:t>
      </w:r>
    </w:p>
    <w:p>
      <w:pPr>
        <w:pStyle w:val="Heading1"/>
        <w:bidi w:val="false"/>
      </w:pPr>
      <w:commentRangeStart w:id="7"/>
      <w:r>
        <w:rPr>
          <w:rtl w:val="false"/>
        </w:rPr>
        <w:t xml:space="preserve">9. Transfer and pre-emption</w:t>
      </w:r>
      <w:commentRangeEnd w:id="7"/>
      <w:r>
        <w:rPr>
          <w:rtl w:val="false"/>
        </w:rPr>
        <w:commentReference w:id="7"/>
      </w:r>
    </w:p>
    <w:p>
      <w:pPr>
        <w:bidi w:val="false"/>
      </w:pPr>
      <w:r>
        <w:rPr>
          <w:rtl w:val="false"/>
        </w:rPr>
        <w:t xml:space="preserve">A partner does not transfer a share to a third party until the other partners have been offered it on the same terms. The time to reply is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If they do not buy, the transfer may proceed on those terms.</w:t>
      </w:r>
    </w:p>
    <w:p>
      <w:pPr>
        <w:pStyle w:val="Heading1"/>
        <w:bidi w:val="false"/>
      </w:pPr>
      <w:commentRangeStart w:id="8"/>
      <w:r>
        <w:rPr>
          <w:rtl w:val="false"/>
        </w:rPr>
        <w:t xml:space="preserve">10. Dissolution and liquidation</w:t>
      </w:r>
      <w:commentRangeEnd w:id="8"/>
      <w:r>
        <w:rPr>
          <w:rtl w:val="false"/>
        </w:rPr>
        <w:commentReference w:id="8"/>
      </w:r>
    </w:p>
    <w:p>
      <w:pPr>
        <w:bidi w:val="false"/>
      </w:pPr>
      <w:r>
        <w:rPr>
          <w:rtl w:val="false"/>
        </w:rPr>
        <w:t xml:space="preserve">The company ends when its term ends, when the partners agree, or for another cause the registrar accepts. </w:t>
      </w:r>
      <w:r>
        <w:rPr>
          <w:highlight w:val="yellow"/>
          <w:rtl w:val="false"/>
        </w:rPr>
        <w:t xml:space="preserve">[</w:t>
      </w:r>
      <w:r>
        <w:rPr>
          <w:highlight w:val="yellow"/>
          <w:rtl w:val="false"/>
        </w:rPr>
        <w:t xml:space="preserve">The liquidator</w:t>
      </w:r>
      <w:r>
        <w:rPr>
          <w:highlight w:val="yellow"/>
          <w:rtl w:val="false"/>
        </w:rPr>
        <w:t xml:space="preserve">]</w:t>
      </w:r>
      <w:r>
        <w:rPr>
          <w:rtl w:val="false"/>
        </w:rPr>
        <w:t xml:space="preserve"> winds it up. What remains after debts are paid is distributed in proportion to the shares.</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Partner 1:</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shares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Partner 2:</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shares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p>
    <w:p>
      <w:pPr>
        <w:pStyle w:val="Heading1"/>
        <w:pageBreakBefore/>
        <w:bidi w:val="false"/>
      </w:pPr>
      <w:r>
        <w:rPr>
          <w:rtl w:val="false"/>
        </w:rPr>
        <w:t xml:space="preserve">Saudi Arabia notes</w:t>
      </w:r>
    </w:p>
    <w:p>
      <w:pPr>
        <w:bidi w:val="false"/>
      </w:pPr>
      <w:r>
        <w:rPr>
          <w:rtl w:val="false"/>
        </w:rPr>
        <w:t xml:space="preserve">The Companies Law is geo-restricted outside Saudi Arabia. Until the article text is read, use the next line.</w:t>
      </w:r>
      <w:r>
        <w:rPr>
          <w:rtl w:val="false"/>
        </w:rPr>
        <w:t xml:space="preserve"> [1][2]</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What to do</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The statute</w:t>
            </w:r>
          </w:p>
        </w:tc>
        <w:tc>
          <w:tcPr>
            <w:tcMar>
              <w:top w:type="dxa" w:w="80"/>
              <w:left w:type="dxa" w:w="100"/>
              <w:bottom w:type="dxa" w:w="80"/>
              <w:right w:type="dxa" w:w="100"/>
            </w:tcMar>
          </w:tcPr>
          <w:p>
            <w:pPr>
              <w:bidi w:val="false"/>
              <w:spacing w:after="0"/>
            </w:pPr>
            <w:r>
              <w:rPr>
                <w:b w:val="false"/>
                <w:sz w:val="18"/>
                <w:szCs w:val="18"/>
                <w:rtl w:val="false"/>
              </w:rPr>
              <w:t xml:space="preserve">The Companies Law was issued by Royal Decree No. M/132 dated 1/12/1443H. Its contents include the limited liability company.</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The company document</w:t>
            </w:r>
          </w:p>
        </w:tc>
        <w:tc>
          <w:tcPr>
            <w:tcMar>
              <w:top w:type="dxa" w:w="80"/>
              <w:left w:type="dxa" w:w="100"/>
              <w:bottom w:type="dxa" w:w="80"/>
              <w:right w:type="dxa" w:w="100"/>
            </w:tcMar>
          </w:tcPr>
          <w:p>
            <w:pPr>
              <w:bidi w:val="false"/>
              <w:spacing w:after="0"/>
            </w:pPr>
            <w:r>
              <w:rPr>
                <w:b w:val="false"/>
                <w:sz w:val="18"/>
                <w:szCs w:val="18"/>
                <w:rtl w:val="false"/>
              </w:rPr>
              <w:t xml:space="preserve">Incorporate through the Saudi Business Center and use the documents it generates. This page does not call that document a memorandum or articles as a quotation from an article.</w:t>
            </w:r>
            <w:r>
              <w:rPr>
                <w:b w:val="false"/>
                <w:sz w:val="18"/>
                <w:szCs w:val="18"/>
                <w:rtl w:val="false"/>
              </w:rPr>
              <w:t xml:space="preserve"> [2]</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Not stated here</w:t>
            </w:r>
          </w:p>
        </w:tc>
        <w:tc>
          <w:tcPr>
            <w:tcMar>
              <w:top w:type="dxa" w:w="80"/>
              <w:left w:type="dxa" w:w="100"/>
              <w:bottom w:type="dxa" w:w="80"/>
              <w:right w:type="dxa" w:w="100"/>
            </w:tcMar>
          </w:tcPr>
          <w:p>
            <w:pPr>
              <w:bidi w:val="false"/>
              <w:spacing w:after="0"/>
            </w:pPr>
            <w:r>
              <w:rPr>
                <w:b w:val="false"/>
                <w:sz w:val="18"/>
                <w:szCs w:val="18"/>
                <w:rtl w:val="false"/>
              </w:rPr>
              <w:t xml:space="preserve">No minimum capital, no reserve percentage, no quorum and no partner cap, in this template.</w:t>
            </w:r>
          </w:p>
        </w:tc>
      </w:tr>
    </w:tbl>
    <w:p>
      <w:pPr>
        <w:bidi w:val="false"/>
      </w:pPr>
    </w:p>
    <w:p>
      <w:pPr>
        <w:pStyle w:val="Heading1"/>
        <w:pageBreakBefore/>
        <w:bidi w:val="false"/>
      </w:pPr>
      <w:r>
        <w:rPr>
          <w:rtl w:val="false"/>
        </w:rPr>
        <w:t xml:space="preserve">UAE notes</w:t>
      </w:r>
    </w:p>
    <w:p>
      <w:pPr>
        <w:bidi w:val="false"/>
      </w:pPr>
      <w:r>
        <w:rPr>
          <w:rtl w:val="false"/>
        </w:rPr>
        <w:t xml:space="preserve">The statute is linked, with no article numbers, as on the government page that names the decree.</w:t>
      </w:r>
      <w:r>
        <w:rPr>
          <w:rtl w:val="false"/>
        </w:rPr>
        <w:t xml:space="preserve"> [3][4]</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What to do</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The statute</w:t>
            </w:r>
          </w:p>
        </w:tc>
        <w:tc>
          <w:tcPr>
            <w:tcMar>
              <w:top w:type="dxa" w:w="80"/>
              <w:left w:type="dxa" w:w="100"/>
              <w:bottom w:type="dxa" w:w="80"/>
              <w:right w:type="dxa" w:w="100"/>
            </w:tcMar>
          </w:tcPr>
          <w:p>
            <w:pPr>
              <w:bidi w:val="false"/>
              <w:spacing w:after="0"/>
            </w:pPr>
            <w:r>
              <w:rPr>
                <w:b w:val="false"/>
                <w:sz w:val="18"/>
                <w:szCs w:val="18"/>
                <w:rtl w:val="false"/>
              </w:rPr>
              <w:t xml:space="preserve">The Commercial Companies Law is Federal Decree-Law No. 32 of 2021, as the UAE Government portal names it.</w:t>
            </w:r>
            <w:r>
              <w:rPr>
                <w:b w:val="false"/>
                <w:sz w:val="18"/>
                <w:szCs w:val="18"/>
                <w:rtl w:val="false"/>
              </w:rPr>
              <w:t xml:space="preserve"> [3]</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The binding document</w:t>
            </w:r>
          </w:p>
        </w:tc>
        <w:tc>
          <w:tcPr>
            <w:tcMar>
              <w:top w:type="dxa" w:w="80"/>
              <w:left w:type="dxa" w:w="100"/>
              <w:bottom w:type="dxa" w:w="80"/>
              <w:right w:type="dxa" w:w="100"/>
            </w:tcMar>
          </w:tcPr>
          <w:p>
            <w:pPr>
              <w:bidi w:val="false"/>
              <w:spacing w:after="0"/>
            </w:pPr>
            <w:r>
              <w:rPr>
                <w:b w:val="false"/>
                <w:sz w:val="18"/>
                <w:szCs w:val="18"/>
                <w:rtl w:val="false"/>
              </w:rPr>
              <w:t xml:space="preserve">The form of the authority that registers the company, not this checklist.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Publication</w:t>
            </w:r>
          </w:p>
        </w:tc>
        <w:tc>
          <w:tcPr>
            <w:tcMar>
              <w:top w:type="dxa" w:w="80"/>
              <w:left w:type="dxa" w:w="100"/>
              <w:bottom w:type="dxa" w:w="80"/>
              <w:right w:type="dxa" w:w="100"/>
            </w:tcMar>
          </w:tcPr>
          <w:p>
            <w:pPr>
              <w:bidi w:val="false"/>
              <w:spacing w:after="0"/>
            </w:pPr>
            <w:r>
              <w:rPr>
                <w:b w:val="false"/>
                <w:sz w:val="18"/>
                <w:szCs w:val="18"/>
                <w:rtl w:val="false"/>
              </w:rPr>
              <w:t xml:space="preserve">Federal legislation is on the UAE Legislation platform. The government portal points to where to find it.</w:t>
            </w:r>
            <w:r>
              <w:rPr>
                <w:b w:val="false"/>
                <w:sz w:val="18"/>
                <w:szCs w:val="18"/>
                <w:rtl w:val="false"/>
              </w:rPr>
              <w:t xml:space="preserve"> [4]</w:t>
            </w:r>
          </w:p>
        </w:tc>
      </w:tr>
    </w:tbl>
    <w:p>
      <w:pPr>
        <w:bidi w:val="false"/>
      </w:pPr>
    </w:p>
    <w:p>
      <w:pPr>
        <w:pStyle w:val="Heading1"/>
        <w:pageBreakBefore/>
        <w:bidi w:val="false"/>
      </w:pPr>
      <w:r>
        <w:rPr>
          <w:rtl w:val="false"/>
        </w:rPr>
        <w:t xml:space="preserve">Annex 1 – Capital and shares</w:t>
      </w:r>
    </w:p>
    <w:p>
      <w:pPr>
        <w:bidi w:val="false"/>
      </w:pPr>
      <w:r>
        <w:rPr>
          <w:rtl w:val="false"/>
        </w:rPr>
        <w:t xml:space="preserve">The percentages should add up to 100. Value any in-kind contribution in writing.</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01"/>
        <w:gridCol w:w="1901"/>
        <w:gridCol w:w="1901"/>
        <w:gridCol w:w="1901"/>
        <w:gridCol w:w="1901"/>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Partner</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Cash</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In kind</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Shares</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Percentage</w:t>
            </w:r>
          </w:p>
        </w:tc>
      </w:tr>
      <w:tr>
        <w:trPr>
          <w:cantSplit/>
        </w:trPr>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Partner 1</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describe the asset and its value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number of shares</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Partner 2</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Total</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rtl w:val="false"/>
              </w:rPr>
              <w:t xml:space="preserve">100%</w:t>
            </w:r>
          </w:p>
        </w:tc>
      </w:tr>
    </w:tbl>
    <w:p>
      <w:pPr>
        <w:bidi w:val="false"/>
      </w:pP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17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ymd7npcenwusfo9vi-e_g">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https://www.qanu.ai/en/templates/memorandum-of-association · Last reviewed: 17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Companies Law, Royal Decree No. M/132 dated 1/12/1443H (30 June 2022) </w:t>
      </w:r>
      <w:hyperlink w:history="1" r:id="rIdtrqfxu0uxjzrg3djx0jab">
        <w:r>
          <w:rPr>
            <w:rStyle w:val="Hyperlink"/>
            <w:sz w:val="16"/>
            <w:szCs w:val="16"/>
          </w:rPr>
          <w:t xml:space="preserve">https://laws.boe.gov.sa/BoeLaws/Laws/LawDetails/a8376aea-1bc3-49d4-9027-aed900b555af/1</w:t>
        </w:r>
      </w:hyperlink>
    </w:p>
    <w:p>
      <w:pPr>
        <w:bidi w:val="false"/>
        <w:ind w:start="360" w:hanging="360"/>
      </w:pPr>
      <w:r>
        <w:rPr>
          <w:sz w:val="18"/>
          <w:szCs w:val="18"/>
          <w:rtl w:val="false"/>
        </w:rPr>
        <w:t xml:space="preserve">[2] Saudi Business Center, incorporation platform (geo-restricted outside KSA) </w:t>
      </w:r>
      <w:hyperlink w:history="1" r:id="rId5uv5bvznl_hczpsjwqec_">
        <w:r>
          <w:rPr>
            <w:rStyle w:val="Hyperlink"/>
            <w:sz w:val="16"/>
            <w:szCs w:val="16"/>
          </w:rPr>
          <w:t xml:space="preserve">https://business.sa/</w:t>
        </w:r>
      </w:hyperlink>
    </w:p>
    <w:p>
      <w:pPr>
        <w:bidi w:val="false"/>
        <w:ind w:start="360" w:hanging="360"/>
      </w:pPr>
      <w:r>
        <w:rPr>
          <w:sz w:val="18"/>
          <w:szCs w:val="18"/>
          <w:rtl w:val="false"/>
        </w:rPr>
        <w:t xml:space="preserve">[3] UAE Government portal (u.ae), Commercial Companies Law (Federal Decree-Law No. 32 of 2021) </w:t>
      </w:r>
      <w:hyperlink w:history="1" r:id="rIdtllv3ena1vqqpvhzolp_m">
        <w:r>
          <w:rPr>
            <w:rStyle w:val="Hyperlink"/>
            <w:sz w:val="16"/>
            <w:szCs w:val="16"/>
          </w:rPr>
          <w:t xml:space="preserve">https://u.ae/en/information-and-services/business/Doing-business/doing-business-on-the-mainland/full-foreign-ownership-of-commercial-companies</w:t>
        </w:r>
      </w:hyperlink>
    </w:p>
    <w:p>
      <w:pPr>
        <w:bidi w:val="false"/>
        <w:ind w:start="360" w:hanging="360"/>
      </w:pPr>
      <w:r>
        <w:rPr>
          <w:sz w:val="18"/>
          <w:szCs w:val="18"/>
          <w:rtl w:val="false"/>
        </w:rPr>
        <w:t xml:space="preserve">[4] UAE Government portal (u.ae), Where to find the UAE's federal laws </w:t>
      </w:r>
      <w:hyperlink w:history="1" r:id="rIdzczvrkeumkh9fzwqqimj5">
        <w:r>
          <w:rPr>
            <w:rStyle w:val="Hyperlink"/>
            <w:sz w:val="16"/>
            <w:szCs w:val="16"/>
          </w:rPr>
          <w:t xml:space="preserve">https://u.ae/en/information-and-services/justice-safety-and-the-law/Law/how-are-uae-laws-issued-and-how-to-find-them/where-to-find-uae-federal-laws</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17T00:00:00.000Z">
    <w:p>
      <w:pPr>
        <w:bidi w:val="false"/>
      </w:pPr>
      <w:r>
        <w:rPr>
          <w:b/>
          <w:bCs/>
          <w:rtl w:val="false"/>
        </w:rPr>
        <w:t xml:space="preserve">Drafting note</w:t>
      </w:r>
    </w:p>
    <w:p>
      <w:pPr>
        <w:bidi w:val="false"/>
      </w:pPr>
      <w:r>
        <w:rPr>
          <w:rtl w:val="false"/>
        </w:rPr>
        <w:t xml:space="preserve">Check that the name is available with the registrar before you print it.</w:t>
      </w:r>
    </w:p>
  </w:comment>
  <w:comment w:id="1" w:initials="Q" w:author="Qanu" w:date="2026-10-17T00:00:00.000Z">
    <w:p>
      <w:pPr>
        <w:bidi w:val="false"/>
      </w:pPr>
      <w:r>
        <w:rPr>
          <w:b/>
          <w:bCs/>
          <w:rtl w:val="false"/>
        </w:rPr>
        <w:t xml:space="preserve">Drafting note</w:t>
      </w:r>
    </w:p>
    <w:p>
      <w:pPr>
        <w:bidi w:val="false"/>
      </w:pPr>
      <w:r>
        <w:rPr>
          <w:rtl w:val="false"/>
        </w:rPr>
        <w:t xml:space="preserve">This checklist grants no licence. Tie each activity to the code the licensing authority uses, if it uses one.</w:t>
      </w:r>
    </w:p>
  </w:comment>
  <w:comment w:id="2" w:initials="Q" w:author="Qanu" w:date="2026-10-17T00:00:00.000Z">
    <w:p>
      <w:pPr>
        <w:bidi w:val="false"/>
      </w:pPr>
      <w:r>
        <w:rPr>
          <w:b/>
          <w:bCs/>
          <w:rtl w:val="false"/>
        </w:rPr>
        <w:t xml:space="preserve">Drafting note</w:t>
      </w:r>
    </w:p>
    <w:p>
      <w:pPr>
        <w:bidi w:val="false"/>
      </w:pPr>
      <w:r>
        <w:rPr>
          <w:rtl w:val="false"/>
        </w:rPr>
        <w:t xml:space="preserve">This page states no statutory term. Take the term from the registrar’s form.</w:t>
      </w:r>
    </w:p>
  </w:comment>
  <w:comment w:id="3" w:initials="Q" w:author="Qanu" w:date="2026-10-17T00:00:00.000Z">
    <w:p>
      <w:pPr>
        <w:bidi w:val="false"/>
      </w:pPr>
      <w:r>
        <w:rPr>
          <w:b/>
          <w:bCs/>
          <w:rtl w:val="false"/>
        </w:rPr>
        <w:t xml:space="preserve">Drafting note</w:t>
      </w:r>
    </w:p>
    <w:p>
      <w:pPr>
        <w:bidi w:val="false"/>
      </w:pPr>
      <w:r>
        <w:rPr>
          <w:rtl w:val="false"/>
        </w:rPr>
        <w:t xml:space="preserve">This page states no minimum capital and no cap on the number of partners. Both depend on the activity and on the registrar. Check them on the incorporation platform.</w:t>
      </w:r>
    </w:p>
  </w:comment>
  <w:comment w:id="4" w:initials="Q" w:author="Qanu" w:date="2026-10-17T00:00:00.000Z">
    <w:p>
      <w:pPr>
        <w:bidi w:val="false"/>
      </w:pPr>
      <w:r>
        <w:rPr>
          <w:b/>
          <w:bCs/>
          <w:rtl w:val="false"/>
        </w:rPr>
        <w:t xml:space="preserve">Drafting note</w:t>
      </w:r>
    </w:p>
    <w:p>
      <w:pPr>
        <w:bidi w:val="false"/>
      </w:pPr>
      <w:r>
        <w:rPr>
          <w:rtl w:val="false"/>
        </w:rPr>
        <w:t xml:space="preserve">Copy the powers into the official form as the registrar accepts them. Don’t assume this list will be registered as written.</w:t>
      </w:r>
    </w:p>
  </w:comment>
  <w:comment w:id="5" w:initials="Q" w:author="Qanu" w:date="2026-10-17T00:00:00.000Z">
    <w:p>
      <w:pPr>
        <w:bidi w:val="false"/>
      </w:pPr>
      <w:r>
        <w:rPr>
          <w:b/>
          <w:bCs/>
          <w:rtl w:val="false"/>
        </w:rPr>
        <w:t xml:space="preserve">Drafting note</w:t>
      </w:r>
    </w:p>
    <w:p>
      <w:pPr>
        <w:bidi w:val="false"/>
      </w:pPr>
      <w:r>
        <w:rPr>
          <w:rtl w:val="false"/>
        </w:rPr>
        <w:t xml:space="preserve">This template does not invent a quorum or a majority. The statute’s figures were not readable from outside Saudi Arabia.</w:t>
      </w:r>
    </w:p>
  </w:comment>
  <w:comment w:id="6" w:initials="Q" w:author="Qanu" w:date="2026-10-17T00:00:00.000Z">
    <w:p>
      <w:pPr>
        <w:bidi w:val="false"/>
      </w:pPr>
      <w:r>
        <w:rPr>
          <w:b/>
          <w:bCs/>
          <w:rtl w:val="false"/>
        </w:rPr>
        <w:t xml:space="preserve">Drafting note</w:t>
      </w:r>
    </w:p>
    <w:p>
      <w:pPr>
        <w:bidi w:val="false"/>
      </w:pPr>
      <w:r>
        <w:rPr>
          <w:rtl w:val="false"/>
        </w:rPr>
        <w:t xml:space="preserve">This page states no statutory reserve percentage. Take it from the registrar’s form if that form asks for one.</w:t>
      </w:r>
    </w:p>
  </w:comment>
  <w:comment w:id="7" w:initials="Q" w:author="Qanu" w:date="2026-10-17T00:00:00.000Z">
    <w:p>
      <w:pPr>
        <w:bidi w:val="false"/>
      </w:pPr>
      <w:r>
        <w:rPr>
          <w:b/>
          <w:bCs/>
          <w:rtl w:val="false"/>
        </w:rPr>
        <w:t xml:space="preserve">Drafting note</w:t>
      </w:r>
    </w:p>
    <w:p>
      <w:pPr>
        <w:bidi w:val="false"/>
      </w:pPr>
      <w:r>
        <w:rPr>
          <w:rtl w:val="false"/>
        </w:rPr>
        <w:t xml:space="preserve">The official form may restrict transfer differently. Write what you agree here, then match it to the registration form.</w:t>
      </w:r>
    </w:p>
  </w:comment>
  <w:comment w:id="8" w:initials="Q" w:author="Qanu" w:date="2026-10-17T00:00:00.000Z">
    <w:p>
      <w:pPr>
        <w:bidi w:val="false"/>
      </w:pPr>
      <w:r>
        <w:rPr>
          <w:b/>
          <w:bCs/>
          <w:rtl w:val="false"/>
        </w:rPr>
        <w:t xml:space="preserve">Drafting note</w:t>
      </w:r>
    </w:p>
    <w:p>
      <w:pPr>
        <w:bidi w:val="false"/>
      </w:pPr>
      <w:r>
        <w:rPr>
          <w:rtl w:val="false"/>
        </w:rPr>
        <w:t xml:space="preserve">Signing this checklist does not register the company. Registration is what happens at the Saudi Business Center or at the registrar in the other country.</w:t>
      </w:r>
      <w:r>
        <w:rPr>
          <w:rtl w:val="false"/>
        </w:rPr>
        <w:t xml:space="preserve"> [2]</w:t>
      </w:r>
      <w:r>
        <w:rPr>
          <w:rtl w:val="false"/>
        </w:rPr>
        <w:t xml:space="preserve"> For the definitions, see </w:t>
      </w:r>
      <w:hyperlink w:history="1" r:id="rIdmkbhcdnzw2plx_keauosc">
        <w:r>
          <w:rPr>
            <w:rStyle w:val="Hyperlink"/>
            <w:rtl w:val="false"/>
          </w:rPr>
          <w:t xml:space="preserve">memorandum of association</w:t>
        </w:r>
      </w:hyperlink>
      <w:r>
        <w:rPr>
          <w:rtl w:val="false"/>
        </w:rPr>
        <w:t xml:space="preserve">, </w:t>
      </w:r>
      <w:hyperlink w:history="1" r:id="rIdiiglq8zucclbxokkjtca6">
        <w:r>
          <w:rPr>
            <w:rStyle w:val="Hyperlink"/>
            <w:rtl w:val="false"/>
          </w:rPr>
          <w:t xml:space="preserve">articles of association</w:t>
        </w:r>
      </w:hyperlink>
      <w:r>
        <w:rPr>
          <w:rtl w:val="false"/>
        </w:rPr>
        <w:t xml:space="preserve">, </w:t>
      </w:r>
      <w:hyperlink w:history="1" r:id="rIdak0amysthskzg2uayciiw">
        <w:r>
          <w:rPr>
            <w:rStyle w:val="Hyperlink"/>
            <w:rtl w:val="false"/>
          </w:rPr>
          <w:t xml:space="preserve">limited liability company</w:t>
        </w:r>
      </w:hyperlink>
      <w:r>
        <w:rPr>
          <w:rtl w:val="false"/>
        </w:rPr>
        <w:t xml:space="preserve"> and </w:t>
      </w:r>
      <w:hyperlink w:history="1" r:id="rIdooxvjfazwz3l2mnh3q0rk">
        <w:r>
          <w:rPr>
            <w:rStyle w:val="Hyperlink"/>
            <w:rtl w:val="false"/>
          </w:rPr>
          <w:t xml:space="preserve">commercial registration</w:t>
        </w:r>
      </w:hyperlink>
      <w:r>
        <w:rPr>
          <w:rtl w:val="false"/>
        </w:rPr>
        <w:t xml:space="preser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17 October 2026 – https://www.qanu.ai/en/templates/memorandum-of-association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17 October 2026 – https://www.qanu.ai/en/templates/memorandum-of-association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mkbhcdnzw2plx_keauosc" Type="http://schemas.openxmlformats.org/officeDocument/2006/relationships/hyperlink" Target="https://www.qanu.ai/en/glossary/memorandum-of-association" TargetMode="External"/><Relationship Id="rIdiiglq8zucclbxokkjtca6" Type="http://schemas.openxmlformats.org/officeDocument/2006/relationships/hyperlink" Target="https://www.qanu.ai/en/glossary/articles-of-association" TargetMode="External"/><Relationship Id="rIdak0amysthskzg2uayciiw" Type="http://schemas.openxmlformats.org/officeDocument/2006/relationships/hyperlink" Target="https://www.qanu.ai/en/glossary/limited-liability-company" TargetMode="External"/><Relationship Id="rIdooxvjfazwz3l2mnh3q0rk" Type="http://schemas.openxmlformats.org/officeDocument/2006/relationships/hyperlink" Target="https://www.qanu.ai/en/glossary/commercial-registration"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gi_jz84qc2fc1ir1umo43" Type="http://schemas.openxmlformats.org/officeDocument/2006/relationships/hyperlink" Target="https://www.qanu.ai/en/templates/partnership-agreement" TargetMode="External"/><Relationship Id="rIdfyfiqydgbd8sc3wg1h3o1" Type="http://schemas.openxmlformats.org/officeDocument/2006/relationships/hyperlink" Target="https://laws.boe.gov.sa/BoeLaws/Laws/LawDetails/a8376aea-1bc3-49d4-9027-aed900b555af/1" TargetMode="External"/><Relationship Id="rIdgk3arjlkvn0xadnwqju8y" Type="http://schemas.openxmlformats.org/officeDocument/2006/relationships/hyperlink" Target="https://business.sa/" TargetMode="External"/><Relationship Id="rIdgtztt6tw4phx72ss4sipb" Type="http://schemas.openxmlformats.org/officeDocument/2006/relationships/hyperlink" Target="https://u.ae/en/information-and-services/business/Doing-business/doing-business-on-the-mainland/full-foreign-ownership-of-commercial-companies" TargetMode="External"/><Relationship Id="rIdymd7npcenwusfo9vi-e_g" Type="http://schemas.openxmlformats.org/officeDocument/2006/relationships/hyperlink" Target="https://creativecommons.org/licenses/by/4.0/deed.en" TargetMode="External"/><Relationship Id="rIdtrqfxu0uxjzrg3djx0jab" Type="http://schemas.openxmlformats.org/officeDocument/2006/relationships/hyperlink" Target="https://laws.boe.gov.sa/BoeLaws/Laws/LawDetails/a8376aea-1bc3-49d4-9027-aed900b555af/1" TargetMode="External"/><Relationship Id="rId5uv5bvznl_hczpsjwqec_" Type="http://schemas.openxmlformats.org/officeDocument/2006/relationships/hyperlink" Target="https://business.sa/" TargetMode="External"/><Relationship Id="rIdtllv3ena1vqqpvhzolp_m" Type="http://schemas.openxmlformats.org/officeDocument/2006/relationships/hyperlink" Target="https://u.ae/en/information-and-services/business/Doing-business/doing-business-on-the-mainland/full-foreign-ownership-of-commercial-companies" TargetMode="External"/><Relationship Id="rIdzczvrkeumkh9fzwqqimj5" Type="http://schemas.openxmlformats.org/officeDocument/2006/relationships/hyperlink" Target="https://u.ae/en/information-and-services/justice-safety-and-the-law/Law/how-are-uae-laws-issued-and-how-to-find-them/where-to-find-uae-federal-laws"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 of association template (LLC)</dc:title>
  <dc:creator>Qanu</dc:creator>
  <cp:keywords>Memorandum of association, Limited liability company, Commercial register, GCC</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17 October 2026. Have it reviewed by a lawyer licensed in your jurisdiction before use. Where an official form or platform is mandatory, it prevails.</dc:description>
  <cp:lastModifiedBy>Qanu</cp:lastModifiedBy>
  <cp:revision>1</cp:revision>
  <dcterms:created xsi:type="dcterms:W3CDTF">2026-10-17T19:21:01.779Z</dcterms:created>
  <dcterms:modified xsi:type="dcterms:W3CDTF">2026-10-17T19:21:01.779Z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https://www.qanu.ai/en/templates/memorandum-of-association</vt:lpwstr>
  </property>
</Properties>
</file>