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فصل الإلزام هو ما تكتبونه في البند (3). وجواب الإلزام في السعودية في أسئلة الصفحة.</w:t>
      </w:r>
      <w:r>
        <w:rPr>
          <w:rtl/>
        </w:rPr>
        <w:t xml:space="preserve"> لا يُلصق رقم مادة في بنود هذه المذكرة. ونظام المعاملات المدنية منشور في بوابة وزارة العدل.</w:t>
      </w:r>
      <w:r>
        <w:rPr>
          <w:rtl/>
        </w:rPr>
        <w:t xml:space="preserve"> [1]</w:t>
      </w:r>
      <w:r>
        <w:rPr>
          <w:rtl/>
        </w:rPr>
        <w:t xml:space="preserve"> وفي الإمارات قانون المعاملات المدنية هو المرسوم بقانون اتحادي رقم (25) لسنة 2025، نافذاً في 1 يونيو 2026، ومواد الانعقاد فيه قيد المراجعة، فلا تورد هذه المذكرة أرقامها.</w:t>
      </w:r>
      <w:r>
        <w:rPr>
          <w:rtl/>
        </w:rPr>
        <w:t xml:space="preserve"> [2][3]</w:t>
      </w:r>
      <w:r>
        <w:rPr>
          <w:rtl/>
        </w:rPr>
        <w:t xml:space="preserve"> فإن أردتم لجملة أن تلزم فقولوا ذلك في البند (3) واكتبوها التزاماً. وإن كان الطرفان يوظّفان فاستخدموا </w:t>
      </w:r>
      <w:hyperlink w:history="1" r:id="rId5yt-dxgxqdnlr6id-onfj">
        <w:r>
          <w:rPr>
            <w:rStyle w:val="Hyperlink"/>
            <w:rtl/>
          </w:rPr>
          <w:t xml:space="preserve">نموذج عقد العمل</w:t>
        </w:r>
      </w:hyperlink>
      <w:r>
        <w:rPr>
          <w:rtl/>
        </w:rPr>
        <w:t xml:space="preserve">. وإن كانا يبرئان نزاعاً تجارياً أو مدنياً فاستخدموا </w:t>
      </w:r>
      <w:hyperlink w:history="1" r:id="rId2zmjwkcgp4qnzcyzr3_ua">
        <w:r>
          <w:rPr>
            <w:rStyle w:val="Hyperlink"/>
            <w:rtl/>
          </w:rPr>
          <w:t xml:space="preserve">نموذج عقد الصلح</w:t>
        </w:r>
      </w:hyperlink>
      <w:r>
        <w:rPr>
          <w:rtl/>
        </w:rPr>
        <w:t xml:space="preserve">. وإن ستُرفع دعوى فاستخدموا </w:t>
      </w:r>
      <w:hyperlink w:history="1" r:id="rIds0ez5au91uturx2u148ay">
        <w:r>
          <w:rPr>
            <w:rStyle w:val="Hyperlink"/>
            <w:rtl/>
          </w:rPr>
          <w:t xml:space="preserve">نموذج صحيفة الدعوى</w:t>
        </w:r>
      </w:hyperlink>
      <w:r>
        <w:rPr>
          <w:rtl/>
        </w:rPr>
        <w:t xml:space="preserve">.</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المعاملات المدنية: </w:t>
      </w:r>
      <w:hyperlink w:history="1" r:id="rIdzufayaweteyo8os96bxqd">
        <w:r>
          <w:rPr>
            <w:rStyle w:val="Hyperlink"/>
            <w:sz w:val="17"/>
            <w:szCs w:val="17"/>
          </w:rPr>
          <w:t xml:space="preserve">‪https://laws.moj.gov.sa/ar/legislation/PBbHmywh1XMp-Kyv3NtQLg‬</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بوابة تشريعات الإمارات: </w:t>
      </w:r>
      <w:hyperlink w:history="1" r:id="rIdjdb8hhgnlom-o6vagsbsk">
        <w:r>
          <w:rPr>
            <w:rStyle w:val="Hyperlink"/>
            <w:sz w:val="17"/>
            <w:szCs w:val="17"/>
          </w:rPr>
          <w:t xml:space="preserve">‪https://u.ae/en/information-and-services/justice-safety-and-the-law/Law/how-are-uae-laws-issued-and-how-to-find-them/where-to-find-uae-federal-laws‬</w:t>
        </w:r>
      </w:hyperlink>
    </w:p>
    <w:p>
      <w:pPr>
        <w:bidi/>
        <w:spacing w:after="240"/>
      </w:pPr>
    </w:p>
    <w:p>
      <w:pPr>
        <w:pStyle w:val="Title"/>
        <w:bidi/>
      </w:pPr>
      <w:r>
        <w:rPr>
          <w:rtl/>
        </w:rPr>
        <w:t xml:space="preserve">مذكرة تفاهم</w:t>
      </w:r>
    </w:p>
    <w:p>
      <w:pPr>
        <w:bidi/>
        <w:spacing w:after="240"/>
      </w:pPr>
      <w:r>
        <w:rPr>
          <w:color w:val="444444"/>
          <w:rtl/>
        </w:rPr>
        <w:t xml:space="preserve">تسجيل لما يعتزم طرفان في الخليج بحثه أو القيام به بعد ذلك. ويبين البند (3) أي البنود يقصدان تنفيذها وأيها لا يسجّل إلا القصْد. وهي لا تؤسس شركة، ولا توظّف أحداً، ولا تنهي نزاعاً.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الخيار الذي لا ينطبق.</w:t>
      </w:r>
    </w:p>
    <w:p>
      <w:pPr>
        <w:pStyle w:val="Heading1"/>
        <w:bidi/>
      </w:pPr>
      <w:commentRangeStart w:id="0"/>
      <w:r>
        <w:rPr>
          <w:rtl/>
        </w:rPr>
        <w:t xml:space="preserve">البند (1): الأطراف</w:t>
      </w:r>
      <w:commentRangeEnd w:id="0"/>
      <w:r>
        <w:rPr>
          <w:rtl/>
        </w:rPr>
        <w:commentReference w:id="0"/>
      </w:r>
    </w:p>
    <w:p>
      <w:pPr>
        <w:bidi/>
      </w:pPr>
      <w:r>
        <w:rPr>
          <w:rtl/>
        </w:rPr>
        <w:t xml:space="preserve">حُررت هذه المذكرة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الطرف الأول: الاسم، رقم الهوية/السجل التجاري، العنوان</w:t>
      </w:r>
      <w:r>
        <w:rPr>
          <w:highlight w:val="yellow"/>
          <w:rtl/>
        </w:rPr>
        <w:t xml:space="preserve">]</w:t>
      </w:r>
      <w:r>
        <w:rPr>
          <w:rtl/>
        </w:rPr>
        <w:t xml:space="preserve"> و</w:t>
      </w:r>
      <w:r>
        <w:rPr>
          <w:highlight w:val="yellow"/>
          <w:rtl/>
        </w:rPr>
        <w:t xml:space="preserve">[</w:t>
      </w:r>
      <w:r>
        <w:rPr>
          <w:highlight w:val="yellow"/>
          <w:rtl/>
        </w:rPr>
        <w:t xml:space="preserve">الطرف الثاني: الاسم، رقم الهوية/السجل التجاري، العنوان</w:t>
      </w:r>
      <w:r>
        <w:rPr>
          <w:highlight w:val="yellow"/>
          <w:rtl/>
        </w:rPr>
        <w:t xml:space="preserve">]</w:t>
      </w:r>
      <w:r>
        <w:rPr>
          <w:rtl/>
        </w:rPr>
        <w:t xml:space="preserve"> (ويُسمّى كلٌّ منهما «الطرف»).</w:t>
      </w:r>
    </w:p>
    <w:p>
      <w:pPr>
        <w:pStyle w:val="Heading1"/>
        <w:bidi/>
      </w:pPr>
      <w:r>
        <w:rPr>
          <w:rtl/>
        </w:rPr>
        <w:t xml:space="preserve">البند (2): الغرض</w:t>
      </w:r>
    </w:p>
    <w:p>
      <w:pPr>
        <w:bidi/>
      </w:pPr>
      <w:r>
        <w:rPr>
          <w:rtl/>
        </w:rPr>
        <w:t xml:space="preserve">يبحث الطرفان في </w:t>
      </w:r>
      <w:r>
        <w:rPr>
          <w:highlight w:val="yellow"/>
          <w:rtl/>
        </w:rPr>
        <w:t xml:space="preserve">[</w:t>
      </w:r>
      <w:r>
        <w:rPr>
          <w:highlight w:val="yellow"/>
          <w:rtl/>
        </w:rPr>
        <w:t xml:space="preserve">الموضوع</w:t>
      </w:r>
      <w:r>
        <w:rPr>
          <w:highlight w:val="yellow"/>
          <w:rtl/>
        </w:rPr>
        <w:t xml:space="preserve">]</w:t>
      </w:r>
      <w:r>
        <w:rPr>
          <w:rtl/>
        </w:rPr>
        <w:t xml:space="preserve">. ويسجّل هذا البند ذلك البحث. وهو التزام فقط إذا قال البند (3) ذلك.</w:t>
      </w:r>
    </w:p>
    <w:p>
      <w:pPr>
        <w:pStyle w:val="Heading1"/>
        <w:bidi/>
      </w:pPr>
      <w:commentRangeStart w:id="1"/>
      <w:r>
        <w:rPr>
          <w:rtl/>
        </w:rPr>
        <w:t xml:space="preserve">البند (3): ما الذي يُلزم</w:t>
      </w:r>
      <w:commentRangeEnd w:id="1"/>
      <w:r>
        <w:rPr>
          <w:rtl/>
        </w:rPr>
        <w:commentReference w:id="1"/>
      </w:r>
    </w:p>
    <w:p>
      <w:pPr>
        <w:bidi/>
      </w:pPr>
      <w:r>
        <w:rPr>
          <w:rtl/>
        </w:rPr>
        <w:t xml:space="preserve">لا يقصد الطرفان الالتزام إلا بالبنود المعلَّمة «ملزم» في الملحق (1)، وللمدة المكتوبة في تلك البنود. وكل بند آخر يسجّل القصْد. وهو ليس إيجاباً يملك الطرف الآخر قبوله بالسكوت، ولا يلزم أياً منهما بإتمام التعامل.</w:t>
      </w:r>
    </w:p>
    <w:p>
      <w:pPr>
        <w:bidi/>
      </w:pPr>
      <w:r>
        <w:rPr>
          <w:rtl/>
        </w:rPr>
        <w:t xml:space="preserve">البند المعلَّم «ملزم» يُنفَّذ كما كُتب. والبند المعلَّم «قصد فقط» يجوز وقفه أو تغييره أو عدم المضي فيه، ولا يترتب على ذلك الاختيار تعويض.</w:t>
      </w:r>
    </w:p>
    <w:p>
      <w:pPr>
        <w:pStyle w:val="Heading1"/>
        <w:bidi/>
      </w:pPr>
      <w:commentRangeStart w:id="2"/>
      <w:r>
        <w:rPr>
          <w:rtl/>
        </w:rPr>
        <w:t xml:space="preserve">البند (4): السرية</w:t>
      </w:r>
      <w:commentRangeEnd w:id="2"/>
      <w:r>
        <w:rPr>
          <w:rtl/>
        </w:rPr>
        <w:commentReference w:id="2"/>
      </w:r>
    </w:p>
    <w:p>
      <w:pPr>
        <w:bidi/>
      </w:pPr>
      <w:r>
        <w:rPr>
          <w:b/>
          <w:bCs/>
          <w:rtl/>
        </w:rPr>
        <w:t xml:space="preserve">خيار.</w:t>
      </w:r>
      <w:r>
        <w:rPr>
          <w:rtl/>
        </w:rPr>
        <w:t xml:space="preserve"> لمدة </w:t>
      </w:r>
      <w:r>
        <w:rPr>
          <w:highlight w:val="yellow"/>
          <w:rtl/>
        </w:rPr>
        <w:t xml:space="preserve">[</w:t>
      </w:r>
      <w:r>
        <w:rPr>
          <w:highlight w:val="yellow"/>
          <w:rtl/>
        </w:rPr>
        <w:t xml:space="preserve">●</w:t>
      </w:r>
      <w:r>
        <w:rPr>
          <w:highlight w:val="yellow"/>
          <w:rtl/>
        </w:rPr>
        <w:t xml:space="preserve">]</w:t>
      </w:r>
      <w:r>
        <w:rPr>
          <w:rtl/>
        </w:rPr>
        <w:t xml:space="preserve"> شهراً بعد انتهاء هذه المذكرة، يحفظ كل طرف سرية المعلومات غير العلنية التي يشاركه الآخر لهذا البحث، ولا يستعملها إلا فيه. ويجوز الإفصاح لمحامٍ أو لمحاسب يحتاج إليها، أو حيث يوجب النظام ذلك. احذفوا هذا البند إن لم يعلّمه الملحق (1) ملزماً. وإن احتاج الطرفان عقد سرية قائماً بذاته فاستخدموا </w:t>
      </w:r>
      <w:hyperlink w:history="1" r:id="rIdl6ez4ez54kaq12exianyb">
        <w:r>
          <w:rPr>
            <w:rStyle w:val="Hyperlink"/>
            <w:rtl/>
          </w:rPr>
          <w:t xml:space="preserve">اتفاقية عدم الإفصاح</w:t>
        </w:r>
      </w:hyperlink>
      <w:r>
        <w:rPr>
          <w:rtl/>
        </w:rPr>
        <w:t xml:space="preserve">.</w:t>
      </w:r>
    </w:p>
    <w:p>
      <w:pPr>
        <w:pStyle w:val="Heading1"/>
        <w:bidi/>
      </w:pPr>
      <w:r>
        <w:rPr>
          <w:rtl/>
        </w:rPr>
        <w:t xml:space="preserve">البند (5): الحصرية</w:t>
      </w:r>
    </w:p>
    <w:p>
      <w:pPr>
        <w:bidi/>
      </w:pPr>
      <w:r>
        <w:rPr>
          <w:b/>
          <w:bCs/>
          <w:rtl/>
        </w:rPr>
        <w:t xml:space="preserve">خيار.</w:t>
      </w:r>
      <w:r>
        <w:rPr>
          <w:rtl/>
        </w:rPr>
        <w:t xml:space="preserve"> لمدة </w:t>
      </w:r>
      <w:r>
        <w:rPr>
          <w:highlight w:val="yellow"/>
          <w:rtl/>
        </w:rPr>
        <w:t xml:space="preserve">[</w:t>
      </w:r>
      <w:r>
        <w:rPr>
          <w:highlight w:val="yellow"/>
          <w:rtl/>
        </w:rPr>
        <w:t xml:space="preserve">●</w:t>
      </w:r>
      <w:r>
        <w:rPr>
          <w:highlight w:val="yellow"/>
          <w:rtl/>
        </w:rPr>
        <w:t xml:space="preserve">]</w:t>
      </w:r>
      <w:r>
        <w:rPr>
          <w:rtl/>
        </w:rPr>
        <w:t xml:space="preserve"> يوماً من تاريخ هذه المذكرة، لا يتفاوض أي طرف في الموضوع نفسه مع طرف ثالث. احذفوا هذا البند إن لم يعلّمه الملحق (1) ملزماً. ولا تتركوا عدد الأيام فارغاً.</w:t>
      </w:r>
    </w:p>
    <w:p>
      <w:pPr>
        <w:pStyle w:val="Heading1"/>
        <w:bidi/>
      </w:pPr>
      <w:r>
        <w:rPr>
          <w:rtl/>
        </w:rPr>
        <w:t xml:space="preserve">البند (6): التكاليف</w:t>
      </w:r>
    </w:p>
    <w:p>
      <w:pPr>
        <w:bidi/>
      </w:pPr>
      <w:r>
        <w:rPr>
          <w:rtl/>
        </w:rPr>
        <w:t xml:space="preserve">يتحمل كل طرف تكاليفه في هذه المذكرة وفي البحث، ما لم يعلّم الملحق (1) اقتساماً آخر بأنه ملزم: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r>
        <w:rPr>
          <w:rtl/>
        </w:rPr>
        <w:t xml:space="preserve">البند (7): المدة</w:t>
      </w:r>
    </w:p>
    <w:p>
      <w:pPr>
        <w:bidi/>
      </w:pPr>
      <w:r>
        <w:rPr>
          <w:rtl/>
        </w:rPr>
        <w:t xml:space="preserve">تنتهي هذه المذكرة في </w:t>
      </w:r>
      <w:r>
        <w:rPr>
          <w:highlight w:val="yellow"/>
          <w:rtl/>
        </w:rPr>
        <w:t xml:space="preserve">[</w:t>
      </w:r>
      <w:r>
        <w:rPr>
          <w:highlight w:val="yellow"/>
          <w:rtl/>
        </w:rPr>
        <w:t xml:space="preserve">التاريخ</w:t>
      </w:r>
      <w:r>
        <w:rPr>
          <w:highlight w:val="yellow"/>
          <w:rtl/>
        </w:rPr>
        <w:t xml:space="preserve">]</w:t>
      </w:r>
      <w:r>
        <w:rPr>
          <w:rtl/>
        </w:rPr>
        <w:t xml:space="preserve">، أو قبل ذلك إذا كتب أحد الطرفين للآخر أن البحث قد توقف. والبند المعلَّم ملزماً في الملحق (1) لا يبقى إلا للمدة التي يذكرها ذلك البند.</w:t>
      </w:r>
    </w:p>
    <w:p>
      <w:pPr>
        <w:pStyle w:val="Heading1"/>
        <w:bidi/>
      </w:pPr>
      <w:commentRangeStart w:id="3"/>
      <w:r>
        <w:rPr>
          <w:rtl/>
        </w:rPr>
        <w:t xml:space="preserve">البند (8): القانون واجب التطبيق، وما ليست هذه المذكرة</w:t>
      </w:r>
      <w:commentRangeEnd w:id="3"/>
      <w:r>
        <w:rPr>
          <w:rtl/>
        </w:rPr>
        <w:commentReference w:id="3"/>
      </w:r>
    </w:p>
    <w:p>
      <w:pPr>
        <w:bidi/>
      </w:pPr>
      <w:r>
        <w:rPr>
          <w:rtl/>
        </w:rPr>
        <w:t xml:space="preserve">تخضع البنود المعلَّمة ملزمةً لقوانين </w:t>
      </w:r>
      <w:r>
        <w:rPr>
          <w:highlight w:val="yellow"/>
          <w:rtl/>
        </w:rPr>
        <w:t xml:space="preserve">[</w:t>
      </w:r>
      <w:r>
        <w:rPr>
          <w:highlight w:val="yellow"/>
          <w:rtl/>
        </w:rPr>
        <w:t xml:space="preserve">الدولة</w:t>
      </w:r>
      <w:r>
        <w:rPr>
          <w:highlight w:val="yellow"/>
          <w:rtl/>
        </w:rPr>
        <w:t xml:space="preserve">]</w:t>
      </w:r>
      <w:r>
        <w:rPr>
          <w:rtl/>
        </w:rPr>
        <w:t xml:space="preserve">. ويُعرض النزاع بشأنها على </w:t>
      </w:r>
      <w:r>
        <w:rPr>
          <w:highlight w:val="yellow"/>
          <w:rtl/>
        </w:rPr>
        <w:t xml:space="preserve">[</w:t>
      </w:r>
      <w:r>
        <w:rPr>
          <w:highlight w:val="yellow"/>
          <w:rtl/>
        </w:rPr>
        <w:t xml:space="preserve">محاكم ● / تحكيم وفق ●</w:t>
      </w:r>
      <w:r>
        <w:rPr>
          <w:highlight w:val="yellow"/>
          <w:rtl/>
        </w:rPr>
        <w:t xml:space="preserve">]</w:t>
      </w:r>
      <w:r>
        <w:rPr>
          <w:rtl/>
        </w:rPr>
        <w:t xml:space="preserve">.</w:t>
      </w:r>
    </w:p>
    <w:p>
      <w:pPr>
        <w:bidi/>
        <w:ind w:start="360" w:hanging="0"/>
      </w:pPr>
      <w:r>
        <w:rPr>
          <w:rtl/>
        </w:rPr>
        <w:t xml:space="preserve">(أ) لا تؤسس هذه المذكرة شركة ولا تقتسم ربحاً. استخدموا </w:t>
      </w:r>
      <w:hyperlink w:history="1" r:id="rIdtem3bmxqdoc0ysqctz1kl">
        <w:r>
          <w:rPr>
            <w:rStyle w:val="Hyperlink"/>
            <w:rtl/>
          </w:rPr>
          <w:t xml:space="preserve">نموذج عقد الشراكة</w:t>
        </w:r>
      </w:hyperlink>
      <w:r>
        <w:rPr>
          <w:rtl/>
        </w:rPr>
        <w:t xml:space="preserve"> أو </w:t>
      </w:r>
      <w:hyperlink w:history="1" r:id="rIdpexnb6oelnk55wgkfuivg">
        <w:r>
          <w:rPr>
            <w:rStyle w:val="Hyperlink"/>
            <w:rtl/>
          </w:rPr>
          <w:t xml:space="preserve">نموذج عقد التأسيس</w:t>
        </w:r>
      </w:hyperlink>
      <w:r>
        <w:rPr>
          <w:rtl/>
        </w:rPr>
        <w:t xml:space="preserve"> لذلك.</w:t>
      </w:r>
    </w:p>
    <w:p>
      <w:pPr>
        <w:bidi/>
        <w:ind w:start="360" w:hanging="0"/>
      </w:pPr>
      <w:r>
        <w:rPr>
          <w:rtl/>
        </w:rPr>
        <w:t xml:space="preserve">(ب) وهي لا توظّف أحداً. استخدموا </w:t>
      </w:r>
      <w:hyperlink w:history="1" r:id="rIdr4uomtfblw_njjqut1ck1">
        <w:r>
          <w:rPr>
            <w:rStyle w:val="Hyperlink"/>
            <w:rtl/>
          </w:rPr>
          <w:t xml:space="preserve">نموذج عقد العمل</w:t>
        </w:r>
      </w:hyperlink>
      <w:r>
        <w:rPr>
          <w:rtl/>
        </w:rPr>
        <w:t xml:space="preserve">.</w:t>
      </w:r>
    </w:p>
    <w:p>
      <w:pPr>
        <w:bidi/>
        <w:ind w:start="360" w:hanging="0"/>
      </w:pPr>
      <w:r>
        <w:rPr>
          <w:rtl/>
        </w:rPr>
        <w:t xml:space="preserve">(ج) وهي لا تبرئ مطالبة. استخدموا </w:t>
      </w:r>
      <w:hyperlink w:history="1" r:id="rId-wzfel0yekgn8yidhtynn">
        <w:r>
          <w:rPr>
            <w:rStyle w:val="Hyperlink"/>
            <w:rtl/>
          </w:rPr>
          <w:t xml:space="preserve">نموذج عقد الصلح</w:t>
        </w:r>
      </w:hyperlink>
      <w:r>
        <w:rPr>
          <w:rtl/>
        </w:rPr>
        <w:t xml:space="preserve">. ولا تقيم دعوى. استخدموا </w:t>
      </w:r>
      <w:hyperlink w:history="1" r:id="rIdhro_ndqocxj163u7fwhjt">
        <w:r>
          <w:rPr>
            <w:rStyle w:val="Hyperlink"/>
            <w:rtl/>
          </w:rPr>
          <w:t xml:space="preserve">نموذج صحيفة الدعوى</w:t>
        </w:r>
      </w:hyperlink>
      <w:r>
        <w:rPr>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الأول: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الثاني: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الملحق (1): قائمة الملزم وغير الملزم</w:t>
      </w:r>
    </w:p>
    <w:p>
      <w:pPr>
        <w:bidi/>
      </w:pPr>
      <w:r>
        <w:rPr>
          <w:rtl/>
        </w:rPr>
        <w:t xml:space="preserve">علّموا حالة واحدة في العمود الأخير. لا تتركوا صفاً فارغاً ولا تعلّموا الحالتين معاً.</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نقطة البدء في هذا النموذج</w:t>
            </w:r>
          </w:p>
        </w:tc>
        <w:tc>
          <w:tcPr>
            <w:shd w:fill="EDEDED" w:color="auto" w:val="clear"/>
            <w:tcMar>
              <w:top w:type="dxa" w:w="80"/>
              <w:left w:type="dxa" w:w="100"/>
              <w:bottom w:type="dxa" w:w="80"/>
              <w:right w:type="dxa" w:w="100"/>
            </w:tcMar>
          </w:tcPr>
          <w:p>
            <w:pPr>
              <w:bidi/>
              <w:spacing w:after="0"/>
            </w:pPr>
            <w:r>
              <w:rPr>
                <w:b/>
                <w:bCs/>
                <w:sz w:val="18"/>
                <w:szCs w:val="18"/>
                <w:rtl/>
              </w:rPr>
              <w:t xml:space="preserve">الحالة التي يكتبها الطرفان</w:t>
            </w:r>
          </w:p>
        </w:tc>
      </w:tr>
      <w:tr>
        <w:trPr>
          <w:cantSplit/>
        </w:trPr>
        <w:tc>
          <w:tcPr>
            <w:tcMar>
              <w:top w:type="dxa" w:w="80"/>
              <w:left w:type="dxa" w:w="100"/>
              <w:bottom w:type="dxa" w:w="80"/>
              <w:right w:type="dxa" w:w="100"/>
            </w:tcMar>
          </w:tcPr>
          <w:p>
            <w:pPr>
              <w:bidi/>
              <w:spacing w:after="0"/>
            </w:pPr>
            <w:r>
              <w:rPr>
                <w:b w:val="false"/>
                <w:sz w:val="18"/>
                <w:szCs w:val="18"/>
                <w:rtl/>
              </w:rPr>
              <w:t xml:space="preserve">البند (2): الغرض</w:t>
            </w:r>
          </w:p>
        </w:tc>
        <w:tc>
          <w:tcPr>
            <w:tcMar>
              <w:top w:type="dxa" w:w="80"/>
              <w:left w:type="dxa" w:w="100"/>
              <w:bottom w:type="dxa" w:w="80"/>
              <w:right w:type="dxa" w:w="100"/>
            </w:tcMar>
          </w:tcPr>
          <w:p>
            <w:pPr>
              <w:bidi/>
              <w:spacing w:after="0"/>
            </w:pPr>
            <w:r>
              <w:rPr>
                <w:b w:val="false"/>
                <w:sz w:val="18"/>
                <w:szCs w:val="18"/>
                <w:rtl/>
              </w:rPr>
              <w:t xml:space="preserve">قصد، ما لم يُعد التزاماً</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ملزم / قصد فقط</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البند (4): السرية</w:t>
            </w:r>
          </w:p>
        </w:tc>
        <w:tc>
          <w:tcPr>
            <w:tcMar>
              <w:top w:type="dxa" w:w="80"/>
              <w:left w:type="dxa" w:w="100"/>
              <w:bottom w:type="dxa" w:w="80"/>
              <w:right w:type="dxa" w:w="100"/>
            </w:tcMar>
          </w:tcPr>
          <w:p>
            <w:pPr>
              <w:bidi/>
              <w:spacing w:after="0"/>
            </w:pPr>
            <w:r>
              <w:rPr>
                <w:b w:val="false"/>
                <w:sz w:val="18"/>
                <w:szCs w:val="18"/>
                <w:rtl/>
              </w:rPr>
              <w:t xml:space="preserve">لا تلزم إلا إذا قال هذا الصف ذلك</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ملزم / قصد فقط / يُحذف</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البند (5): الحصرية</w:t>
            </w:r>
          </w:p>
        </w:tc>
        <w:tc>
          <w:tcPr>
            <w:tcMar>
              <w:top w:type="dxa" w:w="80"/>
              <w:left w:type="dxa" w:w="100"/>
              <w:bottom w:type="dxa" w:w="80"/>
              <w:right w:type="dxa" w:w="100"/>
            </w:tcMar>
          </w:tcPr>
          <w:p>
            <w:pPr>
              <w:bidi/>
              <w:spacing w:after="0"/>
            </w:pPr>
            <w:r>
              <w:rPr>
                <w:b w:val="false"/>
                <w:sz w:val="18"/>
                <w:szCs w:val="18"/>
                <w:rtl/>
              </w:rPr>
              <w:t xml:space="preserve">لا تلزم إلا للأيام المكتوبة في البند</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ملزم / قصد فقط / يُحذف</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البند (6): التكاليف</w:t>
            </w:r>
          </w:p>
        </w:tc>
        <w:tc>
          <w:tcPr>
            <w:tcMar>
              <w:top w:type="dxa" w:w="80"/>
              <w:left w:type="dxa" w:w="100"/>
              <w:bottom w:type="dxa" w:w="80"/>
              <w:right w:type="dxa" w:w="100"/>
            </w:tcMar>
          </w:tcPr>
          <w:p>
            <w:pPr>
              <w:bidi/>
              <w:spacing w:after="0"/>
            </w:pPr>
            <w:r>
              <w:rPr>
                <w:b w:val="false"/>
                <w:sz w:val="18"/>
                <w:szCs w:val="18"/>
                <w:rtl/>
              </w:rPr>
              <w:t xml:space="preserve">لا تلزم إلا إذا قال هذا الصف ذلك</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ملزم / قصد فقط</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البند (7): المدة</w:t>
            </w:r>
          </w:p>
        </w:tc>
        <w:tc>
          <w:tcPr>
            <w:tcMar>
              <w:top w:type="dxa" w:w="80"/>
              <w:left w:type="dxa" w:w="100"/>
              <w:bottom w:type="dxa" w:w="80"/>
              <w:right w:type="dxa" w:w="100"/>
            </w:tcMar>
          </w:tcPr>
          <w:p>
            <w:pPr>
              <w:bidi/>
              <w:spacing w:after="0"/>
            </w:pPr>
            <w:r>
              <w:rPr>
                <w:b w:val="false"/>
                <w:sz w:val="18"/>
                <w:szCs w:val="18"/>
                <w:rtl/>
              </w:rPr>
              <w:t xml:space="preserve">لا تلزم إلا إذا قال هذا الصف ذلك</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ملزم / قصد فقط</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البند (8): القانون والجهة</w:t>
            </w:r>
          </w:p>
        </w:tc>
        <w:tc>
          <w:tcPr>
            <w:tcMar>
              <w:top w:type="dxa" w:w="80"/>
              <w:left w:type="dxa" w:w="100"/>
              <w:bottom w:type="dxa" w:w="80"/>
              <w:right w:type="dxa" w:w="100"/>
            </w:tcMar>
          </w:tcPr>
          <w:p>
            <w:pPr>
              <w:bidi/>
              <w:spacing w:after="0"/>
            </w:pPr>
            <w:r>
              <w:rPr>
                <w:b w:val="false"/>
                <w:sz w:val="18"/>
                <w:szCs w:val="18"/>
                <w:rtl/>
              </w:rPr>
              <w:t xml:space="preserve">لا تلزم إلا إذا قال هذا الصف ذلك</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ملزم / قصد فقط</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y4iwttcowlnevp7micrnw">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‪https://www.qanu.ai/ar/نماذج/نموذج-مذكرة-تفاهم‬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بوابة الأنظمة بوزارة العدل، نظام المعاملات المدنية الصادر بالمرسوم الملكي رقم (م/191) وتاريخ 29/11/1444هـ </w:t>
      </w:r>
      <w:hyperlink w:history="1" r:id="rId2nou_czt0svrzo1up0kku">
        <w:r>
          <w:rPr>
            <w:rStyle w:val="Hyperlink"/>
            <w:sz w:val="16"/>
            <w:szCs w:val="16"/>
          </w:rPr>
          <w:t xml:space="preserve">https://laws.moj.gov.sa/ar/legislation/PBbHmywh1XMp-Kyv3NtQLg</w:t>
        </w:r>
      </w:hyperlink>
    </w:p>
    <w:p>
      <w:pPr>
        <w:bidi/>
        <w:ind w:start="360" w:hanging="360"/>
      </w:pPr>
      <w:r>
        <w:rPr>
          <w:sz w:val="18"/>
          <w:szCs w:val="18"/>
          <w:rtl/>
        </w:rPr>
        <w:t xml:space="preserve">[2] تشريعات الإمارات، مرسوم بقانون اتحادي رقم (25) لسنة 2025 (قانون المعاملات المدنية) </w:t>
      </w:r>
      <w:hyperlink w:history="1" r:id="rIdcaryu1pyrxwsd6q5cdp5g">
        <w:r>
          <w:rPr>
            <w:rStyle w:val="Hyperlink"/>
            <w:sz w:val="16"/>
            <w:szCs w:val="16"/>
          </w:rPr>
          <w:t xml:space="preserve">https://uaelegislation.gov.ae/en/legislations/4011</w:t>
        </w:r>
      </w:hyperlink>
    </w:p>
    <w:p>
      <w:pPr>
        <w:bidi/>
        <w:ind w:start="360" w:hanging="360"/>
      </w:pPr>
      <w:r>
        <w:rPr>
          <w:sz w:val="18"/>
          <w:szCs w:val="18"/>
          <w:rtl/>
        </w:rPr>
        <w:t xml:space="preserve">[3] البوابة الرسمية لحكومة الإمارات (u.ae)، أين تُنشر القوانين الاتحادية </w:t>
      </w:r>
      <w:hyperlink w:history="1" r:id="rIde6upfzvsyvwvv_vdz5yba">
        <w:r>
          <w:rPr>
            <w:rStyle w:val="Hyperlink"/>
            <w:sz w:val="16"/>
            <w:szCs w:val="16"/>
          </w:rPr>
          <w:t xml:space="preserve">https://u.ae/en/information-and-services/justice-safety-and-the-law/Law/how-are-uae-laws-issued-and-how-to-find-them/where-to-find-uae-federal-laws</w:t>
        </w:r>
      </w:hyperlink>
    </w:p>
    <w:p>
      <w:pPr>
        <w:bidi/>
        <w:ind w:start="360" w:hanging="360"/>
      </w:pPr>
      <w:r>
        <w:rPr>
          <w:sz w:val="18"/>
          <w:szCs w:val="18"/>
          <w:rtl/>
        </w:rPr>
        <w:t xml:space="preserve">[4] الهيئة السعودية للبيانات والذكاء الاصطناعي (سدايا)، بوابة نظام حماية البيانات الشخصية </w:t>
      </w:r>
      <w:hyperlink w:history="1" r:id="rId5tw5cztwpn3ptk5pszweq">
        <w:r>
          <w:rPr>
            <w:rStyle w:val="Hyperlink"/>
            <w:sz w:val="16"/>
            <w:szCs w:val="16"/>
          </w:rPr>
          <w:t xml:space="preserve">https://dgp.sdaia.gov.sa/wps/portal/pdp/home</w:t>
        </w:r>
      </w:hyperlink>
    </w:p>
    <w:p>
      <w:pPr>
        <w:bidi/>
        <w:ind w:start="360" w:hanging="360"/>
      </w:pPr>
      <w:r>
        <w:rPr>
          <w:sz w:val="18"/>
          <w:szCs w:val="18"/>
          <w:rtl/>
        </w:rPr>
        <w:t xml:space="preserve">[5] البوابة الرسمية لحكومة الإمارات (u.ae)، قوانين حماية البيانات </w:t>
      </w:r>
      <w:hyperlink w:history="1" r:id="rIdpfzsj2t3r7kf-gg2xqddo">
        <w:r>
          <w:rPr>
            <w:rStyle w:val="Hyperlink"/>
            <w:sz w:val="16"/>
            <w:szCs w:val="16"/>
          </w:rPr>
          <w:t xml:space="preserve">https://u.ae/en/about-the-uae/digital-uae/data/data-protection-laws</w:t>
        </w:r>
      </w:hyperlink>
    </w:p>
    <w:p>
      <w:pPr>
        <w:bidi/>
        <w:ind w:start="360" w:hanging="360"/>
      </w:pPr>
      <w:r>
        <w:rPr>
          <w:sz w:val="18"/>
          <w:szCs w:val="18"/>
          <w:rtl/>
        </w:rPr>
        <w:t xml:space="preserve">[6] هيئة الخبراء بمجلس الوزراء، نظام المعاملات المدنية الصادر بالمرسوم الملكي رقم (م/191) وتاريخ 29/11/1444هـ </w:t>
      </w:r>
      <w:hyperlink w:history="1" r:id="rIdxxhsji5cfxuihwvdt8sb9">
        <w:r>
          <w:rPr>
            <w:rStyle w:val="Hyperlink"/>
            <w:sz w:val="16"/>
            <w:szCs w:val="16"/>
          </w:rPr>
          <w:t xml:space="preserve">https://laws.boe.gov.sa/BoeLaws/Laws/LawDetails/655fdb42-8c96-422b-b8c4-b04f0095c94c/1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اكتبوا الاسم كما في الهوية أو في </w:t>
      </w:r>
      <w:hyperlink w:history="1" r:id="rId6azirguxoans_77wqr868">
        <w:r>
          <w:rPr>
            <w:rStyle w:val="Hyperlink"/>
            <w:rtl/>
          </w:rPr>
          <w:t xml:space="preserve">السجل التجاري</w:t>
        </w:r>
      </w:hyperlink>
      <w:r>
        <w:rPr>
          <w:rtl/>
        </w:rPr>
        <w:t xml:space="preserve">.</w:t>
      </w:r>
    </w:p>
  </w:comment>
  <w:comment w:id="1" w:initials="Q" w:author="Qanu" w:date="2026-10-22T00:00:00.000Z">
    <w:p>
      <w:pPr>
        <w:bidi/>
      </w:pPr>
      <w:r>
        <w:rPr>
          <w:b/>
          <w:bCs/>
          <w:rtl/>
        </w:rPr>
        <w:t xml:space="preserve">ملاحظة صياغة</w:t>
      </w:r>
    </w:p>
    <w:p>
      <w:pPr>
        <w:bidi/>
      </w:pPr>
      <w:r>
        <w:rPr>
          <w:rtl/>
        </w:rPr>
        <w:t xml:space="preserve">لا تُلصقوا رقم مادة داخل هذا البند. فالبند خيار صياغة، وجواب الإلزام في أسئلة الصفحة.</w:t>
      </w:r>
      <w:r>
        <w:rPr>
          <w:rtl/>
        </w:rPr>
        <w:t xml:space="preserve"> [1][2]</w:t>
      </w:r>
      <w:r>
        <w:rPr>
          <w:rtl/>
        </w:rPr>
        <w:t xml:space="preserve"> وعلى المستشار أن يقرأ الصفوف المعلَّمة في ضوء القانون الذي سيحكم البند (8).</w:t>
      </w:r>
    </w:p>
  </w:comment>
  <w:comment w:id="2" w:initials="Q" w:author="Qanu" w:date="2026-10-22T00:00:00.000Z">
    <w:p>
      <w:pPr>
        <w:bidi/>
      </w:pPr>
      <w:r>
        <w:rPr>
          <w:b/>
          <w:bCs/>
          <w:rtl/>
        </w:rPr>
        <w:t xml:space="preserve">ملاحظة صياغة</w:t>
      </w:r>
    </w:p>
    <w:p>
      <w:pPr>
        <w:bidi/>
      </w:pPr>
      <w:r>
        <w:rPr>
          <w:rtl/>
        </w:rPr>
        <w:t xml:space="preserve">إن كانت المعلومة بيانات شخصية فقد يسري نظام حماية البيانات الشخصية في المملكة أو في الإمارات. وهذا البند لا يعيد نصوصهما.</w:t>
      </w:r>
      <w:r>
        <w:rPr>
          <w:rtl/>
        </w:rPr>
        <w:t xml:space="preserve"> [4][5]</w:t>
      </w:r>
      <w:r>
        <w:rPr>
          <w:rtl/>
        </w:rPr>
        <w:t xml:space="preserve"> وانظروا </w:t>
      </w:r>
      <w:hyperlink w:history="1" r:id="rIdqgfrgreacnxwp03g4w9lk">
        <w:r>
          <w:rPr>
            <w:rStyle w:val="Hyperlink"/>
            <w:rtl/>
          </w:rPr>
          <w:t xml:space="preserve">دليل حماية البيانات الشخصية في الخليج</w:t>
        </w:r>
      </w:hyperlink>
      <w:r>
        <w:rPr>
          <w:rtl/>
        </w:rPr>
        <w:t xml:space="preserve">.</w:t>
      </w:r>
    </w:p>
  </w:comment>
  <w:comment w:id="3" w:initials="Q" w:author="Qanu" w:date="2026-10-22T00:00:00.000Z">
    <w:p>
      <w:pPr>
        <w:bidi/>
      </w:pPr>
      <w:r>
        <w:rPr>
          <w:b/>
          <w:bCs/>
          <w:rtl/>
        </w:rPr>
        <w:t xml:space="preserve">ملاحظة صياغة</w:t>
      </w:r>
    </w:p>
    <w:p>
      <w:pPr>
        <w:bidi/>
      </w:pPr>
      <w:r>
        <w:rPr>
          <w:rtl/>
        </w:rPr>
        <w:t xml:space="preserve">سمّوا الجهة. وفي التحكيم انظروا </w:t>
      </w:r>
      <w:hyperlink w:history="1" r:id="rIde4lnt62bwsiv90lp81zwo">
        <w:r>
          <w:rPr>
            <w:rStyle w:val="Hyperlink"/>
            <w:rtl/>
          </w:rPr>
          <w:t xml:space="preserve">التحكيم</w:t>
        </w:r>
      </w:hyperlink>
      <w:r>
        <w:rPr>
          <w:rtl/>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A0B41971-BE9A-145B-65A9-4FBD0E6D41C8}"/>
    <w:embedBold r:id="rId2" w:fontKey="{9B65656F-0457-E0EC-5D2C-41C8307889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‪https://www.qanu.ai/ar/نماذج/نموذج-مذكرة-تفاهم‬</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‪https://www.qanu.ai/ar/نماذج/نموذج-مذكرة-تفاهم‬</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6azirguxoans_77wqr868" Type="http://schemas.openxmlformats.org/officeDocument/2006/relationships/hyperlink" Target="https://www.qanu.ai/ar/%D9%85%D8%B3%D8%B1%D8%AF-%D9%82%D8%A7%D9%86%D9%88%D9%86%D9%8A/%D8%B3%D8%AC%D9%84-%D8%AA%D8%AC%D8%A7%D8%B1%D9%8A" TargetMode="External"/><Relationship Id="rIdqgfrgreacnxwp03g4w9lk" Type="http://schemas.openxmlformats.org/officeDocument/2006/relationships/hyperlink" Target="https://www.qanu.ai/ar/%D8%A3%D8%AF%D9%84%D8%A9/%D8%AD%D9%85%D8%A7%D9%8A%D8%A9-%D8%A7%D9%84%D8%A8%D9%8A%D8%A7%D9%86%D8%A7%D8%AA-%D8%A7%D9%84%D8%B4%D8%AE%D8%B5%D9%8A%D8%A9-%D8%A7%D9%84%D8%AE%D9%84%D9%8A%D8%AC" TargetMode="External"/><Relationship Id="rIde4lnt62bwsiv90lp81zwo" Type="http://schemas.openxmlformats.org/officeDocument/2006/relationships/hyperlink" Target="https://www.qanu.ai/ar/%D9%85%D8%B3%D8%B1%D8%AF-%D9%82%D8%A7%D9%86%D9%88%D9%86%D9%8A/%D8%AA%D8%AD%D9%83%D9%8A%D9%85"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5yt-dxgxqdnlr6id-onfj" Type="http://schemas.openxmlformats.org/officeDocument/2006/relationships/hyperlink" Target="https://www.qanu.ai/ar/%D9%86%D9%85%D8%A7%D8%B0%D8%AC/%D9%86%D9%85%D9%88%D8%B0%D8%AC-%D8%B9%D9%82%D8%AF-%D8%B9%D9%85%D9%84" TargetMode="External"/><Relationship Id="rId2zmjwkcgp4qnzcyzr3_ua" Type="http://schemas.openxmlformats.org/officeDocument/2006/relationships/hyperlink" Target="https://www.qanu.ai/ar/%D9%86%D9%85%D8%A7%D8%B0%D8%AC/%D9%86%D9%85%D9%88%D8%B0%D8%AC-%D8%B9%D9%82%D8%AF-%D8%B5%D9%84%D8%AD" TargetMode="External"/><Relationship Id="rIds0ez5au91uturx2u148ay" Type="http://schemas.openxmlformats.org/officeDocument/2006/relationships/hyperlink" Target="https://www.qanu.ai/ar/%D9%86%D9%85%D8%A7%D8%B0%D8%AC/%D9%86%D9%85%D9%88%D8%B0%D8%AC-%D8%B5%D8%AD%D9%8A%D9%81%D8%A9-%D8%AF%D8%B9%D9%88%D9%89" TargetMode="External"/><Relationship Id="rIdzufayaweteyo8os96bxqd" Type="http://schemas.openxmlformats.org/officeDocument/2006/relationships/hyperlink" Target="https://laws.moj.gov.sa/ar/legislation/PBbHmywh1XMp-Kyv3NtQLg" TargetMode="External"/><Relationship Id="rIdjdb8hhgnlom-o6vagsbsk" Type="http://schemas.openxmlformats.org/officeDocument/2006/relationships/hyperlink" Target="https://u.ae/en/information-and-services/justice-safety-and-the-law/Law/how-are-uae-laws-issued-and-how-to-find-them/where-to-find-uae-federal-laws" TargetMode="External"/><Relationship Id="rIdl6ez4ez54kaq12exianyb" Type="http://schemas.openxmlformats.org/officeDocument/2006/relationships/hyperlink" Target="https://www.qanu.ai/ar/%D9%86%D9%85%D8%A7%D8%B0%D8%AC/%D9%86%D9%85%D9%88%D8%B0%D8%AC-%D8%A7%D8%AA%D9%81%D8%A7%D9%82%D9%8A%D8%A9-%D8%B9%D8%AF%D9%85-%D8%A5%D9%81%D8%B5%D8%A7%D8%AD" TargetMode="External"/><Relationship Id="rIdtem3bmxqdoc0ysqctz1kl" Type="http://schemas.openxmlformats.org/officeDocument/2006/relationships/hyperlink" Target="https://www.qanu.ai/ar/%D9%86%D9%85%D8%A7%D8%B0%D8%AC/%D9%86%D9%85%D9%88%D8%B0%D8%AC-%D8%B9%D9%82%D8%AF-%D8%B4%D8%B1%D8%A7%D9%83%D8%A9" TargetMode="External"/><Relationship Id="rIdpexnb6oelnk55wgkfuivg" Type="http://schemas.openxmlformats.org/officeDocument/2006/relationships/hyperlink" Target="https://www.qanu.ai/ar/%D9%86%D9%85%D8%A7%D8%B0%D8%AC/%D9%86%D9%85%D9%88%D8%B0%D8%AC-%D8%B9%D9%82%D8%AF-%D8%AA%D8%A3%D8%B3%D9%8A%D8%B3-%D8%B4%D8%B1%D9%83%D8%A9" TargetMode="External"/><Relationship Id="rIdr4uomtfblw_njjqut1ck1" Type="http://schemas.openxmlformats.org/officeDocument/2006/relationships/hyperlink" Target="https://www.qanu.ai/ar/%D9%86%D9%85%D8%A7%D8%B0%D8%AC/%D9%86%D9%85%D9%88%D8%B0%D8%AC-%D8%B9%D9%82%D8%AF-%D8%B9%D9%85%D9%84" TargetMode="External"/><Relationship Id="rId-wzfel0yekgn8yidhtynn" Type="http://schemas.openxmlformats.org/officeDocument/2006/relationships/hyperlink" Target="https://www.qanu.ai/ar/%D9%86%D9%85%D8%A7%D8%B0%D8%AC/%D9%86%D9%85%D9%88%D8%B0%D8%AC-%D8%B9%D9%82%D8%AF-%D8%B5%D9%84%D8%AD" TargetMode="External"/><Relationship Id="rIdhro_ndqocxj163u7fwhjt" Type="http://schemas.openxmlformats.org/officeDocument/2006/relationships/hyperlink" Target="https://www.qanu.ai/ar/%D9%86%D9%85%D8%A7%D8%B0%D8%AC/%D9%86%D9%85%D9%88%D8%B0%D8%AC-%D8%B5%D8%AD%D9%8A%D9%81%D8%A9-%D8%AF%D8%B9%D9%88%D9%89" TargetMode="External"/><Relationship Id="rIdy4iwttcowlnevp7micrnw" Type="http://schemas.openxmlformats.org/officeDocument/2006/relationships/hyperlink" Target="https://creativecommons.org/licenses/by/4.0/deed.ar" TargetMode="External"/><Relationship Id="rId2nou_czt0svrzo1up0kku" Type="http://schemas.openxmlformats.org/officeDocument/2006/relationships/hyperlink" Target="https://laws.moj.gov.sa/ar/legislation/PBbHmywh1XMp-Kyv3NtQLg" TargetMode="External"/><Relationship Id="rIdcaryu1pyrxwsd6q5cdp5g" Type="http://schemas.openxmlformats.org/officeDocument/2006/relationships/hyperlink" Target="https://uaelegislation.gov.ae/en/legislations/4011" TargetMode="External"/><Relationship Id="rIde6upfzvsyvwvv_vdz5yba" Type="http://schemas.openxmlformats.org/officeDocument/2006/relationships/hyperlink" Target="https://u.ae/en/information-and-services/justice-safety-and-the-law/Law/how-are-uae-laws-issued-and-how-to-find-them/where-to-find-uae-federal-laws" TargetMode="External"/><Relationship Id="rId5tw5cztwpn3ptk5pszweq" Type="http://schemas.openxmlformats.org/officeDocument/2006/relationships/hyperlink" Target="https://dgp.sdaia.gov.sa/wps/portal/pdp/home" TargetMode="External"/><Relationship Id="rIdpfzsj2t3r7kf-gg2xqddo" Type="http://schemas.openxmlformats.org/officeDocument/2006/relationships/hyperlink" Target="https://u.ae/en/about-the-uae/digital-uae/data/data-protection-laws" TargetMode="External"/><Relationship Id="rIdxxhsji5cfxuihwvdt8sb9" Type="http://schemas.openxmlformats.org/officeDocument/2006/relationships/hyperlink" Target="https://laws.boe.gov.sa/BoeLaws/Laws/LawDetails/655fdb42-8c96-422b-b8c4-b04f0095c94c/1"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مذكرة تفاهم</dc:title>
  <dc:creator>Qanu</dc:creator>
  <cp:keywords>مذكرة تفاهم, بنود ملزمة,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2026-10-22T19:58:14.377Z</dcterms:created>
  <dcterms:modified xsi:type="dcterms:W3CDTF">2026-10-22T19:58:14.377Z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https://www.qanu.ai/ar/نماذج/نموذج-مذكرة-تفاهم</vt:lpwstr>
  </property>
</Properties>
</file>