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الموافقة كتابةً. والمخالصة بعد آخر يوم عمل.</w:t>
      </w:r>
      <w:r>
        <w:rPr>
          <w:rtl/>
        </w:rPr>
        <w:t xml:space="preserve"> ينتهي العقد باتفاق الطرفين بشرط أن تكون موافقة العامل مكتوبة.</w:t>
      </w:r>
      <w:r>
        <w:rPr>
          <w:rtl/>
        </w:rPr>
        <w:t xml:space="preserve"> [1]</w:t>
      </w:r>
      <w:r>
        <w:rPr>
          <w:rtl/>
        </w:rPr>
        <w:t xml:space="preserve"> ويبطل كل إبراء أو مصالحة عن حقوق العامل أثناء سريان العقد ما لم يكن أكثر فائدة له.</w:t>
      </w:r>
      <w:r>
        <w:rPr>
          <w:rtl/>
        </w:rPr>
        <w:t xml:space="preserve"> [1]</w:t>
      </w:r>
      <w:r>
        <w:rPr>
          <w:rtl/>
        </w:rPr>
        <w:t xml:space="preserve"> وتُصفَّى الحقوق خلال المهلة في المادة الثامنة والثمانين.</w:t>
      </w:r>
      <w:r>
        <w:rPr>
          <w:rtl/>
        </w:rPr>
        <w:t xml:space="preserve"> [1]</w:t>
      </w:r>
      <w:r>
        <w:rPr>
          <w:rtl/>
        </w:rPr>
        <w:t xml:space="preserve"> وفي الإمارات ينتهي العقد باتفاق الطرفين كتابةً (المادة 42، الفقرة 1).</w:t>
      </w:r>
      <w:r>
        <w:rPr>
          <w:rtl/>
        </w:rPr>
        <w:t xml:space="preserve"> [2]</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العمل: </w:t>
      </w:r>
      <w:hyperlink w:history="1" r:id="rIdilijx8go40rhcpcwytasw">
        <w:r>
          <w:rPr>
            <w:rStyle w:val="Hyperlink"/>
            <w:sz w:val="17"/>
            <w:szCs w:val="17"/>
          </w:rPr>
          <w:t xml:space="preserve">‪https://laws.boe.gov.sa/BoeLaws/Laws/LawDetails/08381293-6388-48e2-8ad2-a9a700f2aa94/1‬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العمل الإماراتي: </w:t>
      </w:r>
      <w:hyperlink w:history="1" r:id="rIdqs4c9igjb5zquhoday4io">
        <w:r>
          <w:rPr>
            <w:rStyle w:val="Hyperlink"/>
            <w:sz w:val="17"/>
            <w:szCs w:val="17"/>
          </w:rPr>
          <w:t xml:space="preserve">‪https://uaelegislation.gov.ae/en/legislations/1541‬</w:t>
        </w:r>
      </w:hyperlink>
    </w:p>
    <w:p>
      <w:pPr>
        <w:bidi/>
        <w:spacing w:after="240"/>
      </w:pPr>
    </w:p>
    <w:p>
      <w:pPr>
        <w:pStyle w:val="Title"/>
        <w:bidi/>
      </w:pPr>
      <w:r>
        <w:rPr>
          <w:rtl/>
        </w:rPr>
        <w:t xml:space="preserve">اتفاق إنهاء عقد عمل بالتراضي</w:t>
      </w:r>
    </w:p>
    <w:p>
      <w:pPr>
        <w:bidi/>
        <w:spacing w:after="240"/>
      </w:pPr>
      <w:r>
        <w:rPr>
          <w:color w:val="444444"/>
          <w:rtl/>
        </w:rPr>
        <w:t xml:space="preserve">بين العامل وصاحب العمل في دول الخليج.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هذه نقطة انطلاق، وتُراجع من محامٍ مرخّص في الدولة المعنية قبل الاستعمال.</w:t>
      </w:r>
    </w:p>
    <w:p>
      <w:pPr>
        <w:pStyle w:val="Heading1"/>
        <w:bidi/>
      </w:pPr>
      <w:r>
        <w:rPr>
          <w:rtl/>
        </w:rPr>
        <w:t xml:space="preserve">البند (1): الأطراف والعقد</w:t>
      </w:r>
    </w:p>
    <w:p>
      <w:pPr>
        <w:bidi/>
      </w:pPr>
      <w:r>
        <w:rPr>
          <w:rtl/>
        </w:rPr>
        <w:t xml:space="preserve">حُرر في </w:t>
      </w:r>
      <w:r>
        <w:rPr>
          <w:highlight w:val="yellow"/>
          <w:rtl/>
        </w:rPr>
        <w:t xml:space="preserve">[</w:t>
      </w:r>
      <w:r>
        <w:rPr>
          <w:highlight w:val="yellow"/>
          <w:rtl/>
        </w:rPr>
        <w:t xml:space="preserve">التاريخ</w:t>
      </w:r>
      <w:r>
        <w:rPr>
          <w:highlight w:val="yellow"/>
          <w:rtl/>
        </w:rPr>
        <w:t xml:space="preserve">]</w:t>
      </w:r>
      <w:r>
        <w:rPr>
          <w:rtl/>
        </w:rPr>
        <w:t xml:space="preserve"> بين </w:t>
      </w:r>
      <w:r>
        <w:rPr>
          <w:highlight w:val="yellow"/>
          <w:rtl/>
        </w:rPr>
        <w:t xml:space="preserve">[</w:t>
      </w:r>
      <w:r>
        <w:rPr>
          <w:highlight w:val="yellow"/>
          <w:rtl/>
        </w:rPr>
        <w:t xml:space="preserve">صاحب العمل</w:t>
      </w:r>
      <w:r>
        <w:rPr>
          <w:highlight w:val="yellow"/>
          <w:rtl/>
        </w:rPr>
        <w:t xml:space="preserve">]</w:t>
      </w:r>
      <w:r>
        <w:rPr>
          <w:rtl/>
        </w:rPr>
        <w:t xml:space="preserve"> («صاحب العمل») و</w:t>
      </w:r>
      <w:r>
        <w:rPr>
          <w:highlight w:val="yellow"/>
          <w:rtl/>
        </w:rPr>
        <w:t xml:space="preserve">[</w:t>
      </w:r>
      <w:r>
        <w:rPr>
          <w:highlight w:val="yellow"/>
          <w:rtl/>
        </w:rPr>
        <w:t xml:space="preserve">العامل</w:t>
      </w:r>
      <w:r>
        <w:rPr>
          <w:highlight w:val="yellow"/>
          <w:rtl/>
        </w:rPr>
        <w:t xml:space="preserve">]</w:t>
      </w:r>
      <w:r>
        <w:rPr>
          <w:rtl/>
        </w:rPr>
        <w:t xml:space="preserve">، هوية </w:t>
      </w:r>
      <w:r>
        <w:rPr>
          <w:highlight w:val="yellow"/>
          <w:rtl/>
        </w:rPr>
        <w:t xml:space="preserve">[</w:t>
      </w:r>
      <w:r>
        <w:rPr>
          <w:highlight w:val="yellow"/>
          <w:rtl/>
        </w:rPr>
        <w:t xml:space="preserve">●</w:t>
      </w:r>
      <w:r>
        <w:rPr>
          <w:highlight w:val="yellow"/>
          <w:rtl/>
        </w:rPr>
        <w:t xml:space="preserve">]</w:t>
      </w:r>
      <w:r>
        <w:rPr>
          <w:rtl/>
        </w:rPr>
        <w:t xml:space="preserve"> («العامل»). والعقد المنتهي: عقد عمل مؤرخ </w:t>
      </w:r>
      <w:r>
        <w:rPr>
          <w:highlight w:val="yellow"/>
          <w:rtl/>
        </w:rPr>
        <w:t xml:space="preserve">[</w:t>
      </w:r>
      <w:r>
        <w:rPr>
          <w:highlight w:val="yellow"/>
          <w:rtl/>
        </w:rPr>
        <w:t xml:space="preserve">●</w:t>
      </w:r>
      <w:r>
        <w:rPr>
          <w:highlight w:val="yellow"/>
          <w:rtl/>
        </w:rPr>
        <w:t xml:space="preserve">]</w:t>
      </w:r>
      <w:r>
        <w:rPr>
          <w:rtl/>
        </w:rPr>
        <w:t xml:space="preserve"> </w:t>
      </w:r>
      <w:r>
        <w:rPr>
          <w:highlight w:val="yellow"/>
          <w:rtl/>
        </w:rPr>
        <w:t xml:space="preserve">[</w:t>
      </w:r>
      <w:r>
        <w:rPr>
          <w:highlight w:val="yellow"/>
          <w:rtl/>
        </w:rPr>
        <w:t xml:space="preserve">محدد المدة حتى </w:t>
      </w:r>
      <w:r>
        <w:rPr>
          <w:highlight w:val="yellow"/>
          <w:rtl/>
        </w:rPr>
        <w:t xml:space="preserve">[</w:t>
      </w:r>
      <w:r>
        <w:rPr>
          <w:highlight w:val="yellow"/>
          <w:rtl/>
        </w:rPr>
        <w:t xml:space="preserve">●</w:t>
      </w:r>
      <w:r>
        <w:rPr>
          <w:highlight w:val="yellow"/>
          <w:rtl/>
        </w:rPr>
        <w:t xml:space="preserve">]</w:t>
      </w:r>
      <w:r>
        <w:rPr>
          <w:highlight w:val="yellow"/>
          <w:rtl/>
        </w:rPr>
        <w:t xml:space="preserve"> / غير محدد المدة</w:t>
      </w:r>
      <w:r>
        <w:rPr>
          <w:highlight w:val="yellow"/>
          <w:rtl/>
        </w:rPr>
        <w:t xml:space="preserve">]</w:t>
      </w:r>
      <w:r>
        <w:rPr>
          <w:rtl/>
        </w:rPr>
        <w:t xml:space="preserve">.</w:t>
      </w:r>
    </w:p>
    <w:p>
      <w:pPr>
        <w:pStyle w:val="Heading1"/>
        <w:bidi/>
      </w:pPr>
      <w:commentRangeStart w:id="0"/>
      <w:r>
        <w:rPr>
          <w:rtl/>
        </w:rPr>
        <w:t xml:space="preserve">البند (2): الإنهاء بالتراضي</w:t>
      </w:r>
      <w:commentRangeEnd w:id="0"/>
      <w:r>
        <w:rPr>
          <w:rtl/>
        </w:rPr>
        <w:commentReference w:id="0"/>
      </w:r>
    </w:p>
    <w:p>
      <w:pPr>
        <w:bidi/>
      </w:pPr>
      <w:r>
        <w:rPr>
          <w:rtl/>
        </w:rPr>
        <w:t xml:space="preserve">يتفق الطرفان على إنهاء علاقة العمل بالتراضي اعتباراً من </w:t>
      </w:r>
      <w:r>
        <w:rPr>
          <w:highlight w:val="yellow"/>
          <w:rtl/>
        </w:rPr>
        <w:t xml:space="preserve">[</w:t>
      </w:r>
      <w:r>
        <w:rPr>
          <w:highlight w:val="yellow"/>
          <w:rtl/>
        </w:rPr>
        <w:t xml:space="preserve">آخر يوم عمل</w:t>
      </w:r>
      <w:r>
        <w:rPr>
          <w:highlight w:val="yellow"/>
          <w:rtl/>
        </w:rPr>
        <w:t xml:space="preserve">]</w:t>
      </w:r>
      <w:r>
        <w:rPr>
          <w:rtl/>
        </w:rPr>
        <w:t xml:space="preserve">. وتكون موافقة العامل على هذا الإنهاء مكتوبة في هذا الاتفاق.</w:t>
      </w:r>
    </w:p>
    <w:p>
      <w:pPr>
        <w:pStyle w:val="Heading1"/>
        <w:bidi/>
      </w:pPr>
      <w:r>
        <w:rPr>
          <w:rtl/>
        </w:rPr>
        <w:t xml:space="preserve">البند (3): تسليم العهدة</w:t>
      </w:r>
    </w:p>
    <w:p>
      <w:pPr>
        <w:bidi/>
      </w:pPr>
      <w:r>
        <w:rPr>
          <w:rtl/>
        </w:rPr>
        <w:t xml:space="preserve">يسلّم العامل </w:t>
      </w:r>
      <w:r>
        <w:rPr>
          <w:highlight w:val="yellow"/>
          <w:rtl/>
        </w:rPr>
        <w:t xml:space="preserve">[</w:t>
      </w:r>
      <w:r>
        <w:rPr>
          <w:highlight w:val="yellow"/>
          <w:rtl/>
        </w:rPr>
        <w:t xml:space="preserve">معدات / بطاقات / مستندات</w:t>
      </w:r>
      <w:r>
        <w:rPr>
          <w:highlight w:val="yellow"/>
          <w:rtl/>
        </w:rPr>
        <w:t xml:space="preserve">]</w:t>
      </w:r>
      <w:r>
        <w:rPr>
          <w:rtl/>
        </w:rPr>
        <w:t xml:space="preserve"> قبل آخر يوم عمل، ويوقع محضر تسليم.</w:t>
      </w:r>
    </w:p>
    <w:p>
      <w:pPr>
        <w:pStyle w:val="Heading1"/>
        <w:bidi/>
      </w:pPr>
      <w:commentRangeStart w:id="1"/>
      <w:r>
        <w:rPr>
          <w:rtl/>
        </w:rPr>
        <w:t xml:space="preserve">البند (4): المستحقات والمخالصة</w:t>
      </w:r>
      <w:commentRangeEnd w:id="1"/>
      <w:r>
        <w:rPr>
          <w:rtl/>
        </w:rPr>
        <w:commentReference w:id="1"/>
      </w:r>
    </w:p>
    <w:p>
      <w:pPr>
        <w:bidi/>
      </w:pPr>
      <w:r>
        <w:rPr>
          <w:rtl/>
        </w:rPr>
        <w:t xml:space="preserve">يُحسب الأجر حتى آخر يوم عمل، وبدل الإجازات، ومكافأة نهاية الخدمة، وفق النظام النافذ. ويُوقَّع </w:t>
      </w:r>
      <w:hyperlink w:history="1" r:id="rId7lzkswvn9tuy1rvsmatej">
        <w:r>
          <w:rPr>
            <w:rStyle w:val="Hyperlink"/>
            <w:rtl/>
          </w:rPr>
          <w:t xml:space="preserve">نموذج المخالصة النهائية</w:t>
        </w:r>
      </w:hyperlink>
      <w:r>
        <w:rPr>
          <w:rtl/>
        </w:rPr>
        <w:t xml:space="preserve"> في </w:t>
      </w:r>
      <w:r>
        <w:rPr>
          <w:highlight w:val="yellow"/>
          <w:rtl/>
        </w:rPr>
        <w:t xml:space="preserve">[</w:t>
      </w:r>
      <w:r>
        <w:rPr>
          <w:highlight w:val="yellow"/>
          <w:rtl/>
        </w:rPr>
        <w:t xml:space="preserve">التاريخ</w:t>
      </w:r>
      <w:r>
        <w:rPr>
          <w:highlight w:val="yellow"/>
          <w:rtl/>
        </w:rPr>
        <w:t xml:space="preserve">]</w:t>
      </w:r>
      <w:r>
        <w:rPr>
          <w:rtl/>
        </w:rPr>
        <w:t xml:space="preserve"> بعد آخر يوم عمل، ولا يُعتبر هذا البند إبراءً نهائياً بذاته.</w:t>
      </w:r>
    </w:p>
    <w:p>
      <w:pPr>
        <w:pStyle w:val="Heading1"/>
        <w:bidi/>
      </w:pPr>
      <w:r>
        <w:rPr>
          <w:rtl/>
        </w:rPr>
        <w:t xml:space="preserve">البند (5): شهادة الخدمة والإحالات</w:t>
      </w:r>
    </w:p>
    <w:p>
      <w:pPr>
        <w:bidi/>
      </w:pPr>
      <w:r>
        <w:rPr>
          <w:rtl/>
        </w:rPr>
        <w:t xml:space="preserve">يُسلّم العامل شهادة خدمة وفق النظام. وانظروا </w:t>
      </w:r>
      <w:hyperlink w:history="1" r:id="rIdfzjjplt7h4kqpbpyx5ck8">
        <w:r>
          <w:rPr>
            <w:rStyle w:val="Hyperlink"/>
            <w:rtl/>
          </w:rPr>
          <w:t xml:space="preserve">شهادة الخدمة</w:t>
        </w:r>
      </w:hyperlink>
      <w:r>
        <w:rPr>
          <w:rtl/>
        </w:rPr>
        <w:t xml:space="preserve"> و</w:t>
      </w:r>
      <w:hyperlink w:history="1" r:id="rIdevbbgebktrb_mwzdklcph">
        <w:r>
          <w:rPr>
            <w:rStyle w:val="Hyperlink"/>
            <w:rtl/>
          </w:rPr>
          <w:t xml:space="preserve">مكافأة نهاية الخدمة</w:t>
        </w:r>
      </w:hyperlink>
      <w:r>
        <w:rPr>
          <w:rtl/>
        </w:rPr>
        <w:t xml:space="preserve">.</w:t>
      </w:r>
    </w:p>
    <w:p>
      <w:pPr>
        <w:pStyle w:val="Heading1"/>
        <w:bidi/>
      </w:pPr>
      <w:r>
        <w:rPr>
          <w:rtl/>
        </w:rPr>
        <w:t xml:space="preserve">البند (6): السرية وعدم المنافسة</w:t>
      </w:r>
    </w:p>
    <w:p>
      <w:pPr>
        <w:bidi/>
      </w:pPr>
      <w:r>
        <w:rPr>
          <w:rtl/>
        </w:rPr>
        <w:t xml:space="preserve">تبقى التزامات السرية و</w:t>
      </w:r>
      <w:r>
        <w:rPr>
          <w:highlight w:val="yellow"/>
          <w:rtl/>
        </w:rPr>
        <w:t xml:space="preserve">[</w:t>
      </w:r>
      <w:r>
        <w:rPr>
          <w:highlight w:val="yellow"/>
          <w:rtl/>
        </w:rPr>
        <w:t xml:space="preserve">عدم المنافسة إن وُجدت في العقد</w:t>
      </w:r>
      <w:r>
        <w:rPr>
          <w:highlight w:val="yellow"/>
          <w:rtl/>
        </w:rPr>
        <w:t xml:space="preserve">]</w:t>
      </w:r>
      <w:r>
        <w:rPr>
          <w:rtl/>
        </w:rPr>
        <w:t xml:space="preserve"> سارية بعد الإنهاء في حدود النظام.</w:t>
      </w:r>
    </w:p>
    <w:p>
      <w:pPr>
        <w:pStyle w:val="Heading1"/>
        <w:bidi/>
      </w:pPr>
      <w:r>
        <w:rPr>
          <w:rtl/>
        </w:rPr>
        <w:t xml:space="preserve">البند (7): التوقيع</w:t>
      </w:r>
    </w:p>
    <w:p>
      <w:pPr>
        <w:bidi/>
      </w:pPr>
      <w:r>
        <w:rPr>
          <w:rtl/>
        </w:rPr>
        <w:t xml:space="preserve">التوقيع: صاحب العمل </w:t>
      </w:r>
      <w:r>
        <w:rPr>
          <w:highlight w:val="yellow"/>
          <w:rtl/>
        </w:rPr>
        <w:t xml:space="preserve">[</w:t>
      </w:r>
      <w:r>
        <w:rPr>
          <w:highlight w:val="yellow"/>
          <w:rtl/>
        </w:rPr>
        <w:t xml:space="preserve">●</w:t>
      </w:r>
      <w:r>
        <w:rPr>
          <w:highlight w:val="yellow"/>
          <w:rtl/>
        </w:rPr>
        <w:t xml:space="preserve">]</w:t>
      </w:r>
      <w:r>
        <w:rPr>
          <w:rtl/>
        </w:rPr>
        <w:t xml:space="preserve">، العامل </w:t>
      </w:r>
      <w:r>
        <w:rPr>
          <w:highlight w:val="yellow"/>
          <w:rtl/>
        </w:rPr>
        <w:t xml:space="preserve">[</w:t>
      </w:r>
      <w:r>
        <w:rPr>
          <w:highlight w:val="yellow"/>
          <w:rtl/>
        </w:rPr>
        <w:t xml:space="preserve">●</w:t>
      </w:r>
      <w:r>
        <w:rPr>
          <w:highlight w:val="yellow"/>
          <w:rtl/>
        </w:rPr>
        <w:t xml:space="preserve">]</w:t>
      </w:r>
      <w:r>
        <w:rPr>
          <w:rtl/>
        </w:rPr>
        <w:t xml:space="preserve">.</w:t>
      </w:r>
    </w:p>
    <w:p>
      <w:pPr>
        <w:pStyle w:val="Heading1"/>
        <w:pageBreakBefore/>
        <w:bidi/>
      </w:pPr>
      <w:r>
        <w:rPr>
          <w:rtl/>
        </w:rPr>
        <w:t xml:space="preserve">ملاحظات عن المملكة العربية السعودية</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الاتفاق</w:t>
            </w:r>
          </w:p>
        </w:tc>
        <w:tc>
          <w:tcPr>
            <w:tcMar>
              <w:top w:type="dxa" w:w="80"/>
              <w:left w:type="dxa" w:w="100"/>
              <w:bottom w:type="dxa" w:w="80"/>
              <w:right w:type="dxa" w:w="100"/>
            </w:tcMar>
          </w:tcPr>
          <w:p>
            <w:pPr>
              <w:bidi/>
              <w:spacing w:after="0"/>
            </w:pPr>
            <w:r>
              <w:rPr>
                <w:b w:val="false"/>
                <w:sz w:val="18"/>
                <w:szCs w:val="18"/>
                <w:rtl/>
              </w:rPr>
              <w:t xml:space="preserve">ينتهي العقد باتفاق الطرفين بشرط أن تكون موافقة العامل مكتوبة (المادة الرابعة والسبعون، الفقرة 1).</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الإبراء أثناء العقد</w:t>
            </w:r>
          </w:p>
        </w:tc>
        <w:tc>
          <w:tcPr>
            <w:tcMar>
              <w:top w:type="dxa" w:w="80"/>
              <w:left w:type="dxa" w:w="100"/>
              <w:bottom w:type="dxa" w:w="80"/>
              <w:right w:type="dxa" w:w="100"/>
            </w:tcMar>
          </w:tcPr>
          <w:p>
            <w:pPr>
              <w:bidi/>
              <w:spacing w:after="0"/>
            </w:pPr>
            <w:r>
              <w:rPr>
                <w:b w:val="false"/>
                <w:sz w:val="18"/>
                <w:szCs w:val="18"/>
                <w:rtl/>
              </w:rPr>
              <w:t xml:space="preserve">يبطل كل إبراء أو مصالحة عن حقوق العامل أثناء سريان العقد ما لم يكن أكثر فائدة له (المادة الثامنة).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تصفية الحقوق</w:t>
            </w:r>
          </w:p>
        </w:tc>
        <w:tc>
          <w:tcPr>
            <w:tcMar>
              <w:top w:type="dxa" w:w="80"/>
              <w:left w:type="dxa" w:w="100"/>
              <w:bottom w:type="dxa" w:w="80"/>
              <w:right w:type="dxa" w:w="100"/>
            </w:tcMar>
          </w:tcPr>
          <w:p>
            <w:pPr>
              <w:bidi/>
              <w:spacing w:after="0"/>
            </w:pPr>
            <w:r>
              <w:rPr>
                <w:b w:val="false"/>
                <w:sz w:val="18"/>
                <w:szCs w:val="18"/>
                <w:rtl/>
              </w:rPr>
              <w:t xml:space="preserve">تُصفَّى حقوق العامل خلال أسبوع على الأكثر، وخلال أسبوعين إذا أنهى العامل العقد (المادة الثامنة والثمانون).</w:t>
            </w:r>
            <w:r>
              <w:rPr>
                <w:b w:val="false"/>
                <w:sz w:val="18"/>
                <w:szCs w:val="18"/>
                <w:rtl/>
              </w:rPr>
              <w:t xml:space="preserve"> [1]</w:t>
            </w:r>
          </w:p>
        </w:tc>
      </w:tr>
    </w:tbl>
    <w:p>
      <w:pPr>
        <w:bidi/>
      </w:pPr>
    </w:p>
    <w:p>
      <w:pPr>
        <w:pStyle w:val="Heading1"/>
        <w:pageBreakBefore/>
        <w:bidi/>
      </w:pPr>
      <w:r>
        <w:rPr>
          <w:rtl/>
        </w:rPr>
        <w:t xml:space="preserve">ملاحظات عن الإمارات العربية المتحدة</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الاتفاق</w:t>
            </w:r>
          </w:p>
        </w:tc>
        <w:tc>
          <w:tcPr>
            <w:tcMar>
              <w:top w:type="dxa" w:w="80"/>
              <w:left w:type="dxa" w:w="100"/>
              <w:bottom w:type="dxa" w:w="80"/>
              <w:right w:type="dxa" w:w="100"/>
            </w:tcMar>
          </w:tcPr>
          <w:p>
            <w:pPr>
              <w:bidi/>
              <w:spacing w:after="0"/>
            </w:pPr>
            <w:r>
              <w:rPr>
                <w:b w:val="false"/>
                <w:sz w:val="18"/>
                <w:szCs w:val="18"/>
                <w:rtl/>
              </w:rPr>
              <w:t xml:space="preserve">ينتهي العقد باتفاق الطرفين كتابةً (المادة 42، الفقرة 1).</w:t>
            </w:r>
            <w:r>
              <w:rPr>
                <w:b w:val="false"/>
                <w:sz w:val="18"/>
                <w:szCs w:val="18"/>
                <w:rtl/>
              </w:rPr>
              <w:t xml:space="preserve"> [2]</w:t>
            </w:r>
          </w:p>
        </w:tc>
      </w:tr>
    </w:tbl>
    <w:p>
      <w:pPr>
        <w:bidi/>
      </w:pPr>
    </w:p>
    <w:p>
      <w:pPr>
        <w:pStyle w:val="Heading1"/>
        <w:bidi/>
      </w:pPr>
      <w:r>
        <w:rPr>
          <w:rtl/>
        </w:rPr>
        <w:t xml:space="preserve">قطر والبحرين والكويت وسلطنة عُمان</w:t>
      </w:r>
    </w:p>
    <w:p>
      <w:pPr>
        <w:pStyle w:val="ListParagraph"/>
        <w:numPr>
          <w:ilvl w:val="0"/>
          <w:numId w:val="2"/>
        </w:numPr>
        <w:bidi/>
      </w:pPr>
      <w:r>
        <w:rPr>
          <w:rtl/>
        </w:rPr>
        <w:t xml:space="preserve">قطر: قيد المراجعة. لا رقم مادة ولا مهلة سداد في هذه الصفحة.</w:t>
      </w:r>
    </w:p>
    <w:p>
      <w:pPr>
        <w:pStyle w:val="ListParagraph"/>
        <w:numPr>
          <w:ilvl w:val="0"/>
          <w:numId w:val="2"/>
        </w:numPr>
        <w:bidi/>
      </w:pPr>
      <w:r>
        <w:rPr>
          <w:rtl/>
        </w:rPr>
        <w:t xml:space="preserve">البحرين: قيد المراجعة. لا رقم مادة.</w:t>
      </w:r>
    </w:p>
    <w:p>
      <w:pPr>
        <w:pStyle w:val="ListParagraph"/>
        <w:numPr>
          <w:ilvl w:val="0"/>
          <w:numId w:val="2"/>
        </w:numPr>
        <w:bidi/>
      </w:pPr>
      <w:r>
        <w:rPr>
          <w:rtl/>
        </w:rPr>
        <w:t xml:space="preserve">الكويت: قيد المراجعة. لا رقم مادة.</w:t>
      </w:r>
    </w:p>
    <w:p>
      <w:pPr>
        <w:pStyle w:val="ListParagraph"/>
        <w:numPr>
          <w:ilvl w:val="0"/>
          <w:numId w:val="2"/>
        </w:numPr>
        <w:bidi/>
      </w:pPr>
      <w:r>
        <w:rPr>
          <w:rtl/>
        </w:rPr>
        <w:t xml:space="preserve">سلطنة عُمان: قيد المراجعة. لا رقم مادة.</w:t>
      </w: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i9usmflk2mtrlh6_bty9z">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‪https://www.qanu.ai/ar/نماذج/نموذج-إنهاء-عقد-عمل-بالتراضي‬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هيئة الخبراء بمجلس الوزراء، نظام العمل الصادر بالمرسوم الملكي رقم (م/51) وتاريخ 23/8/1426هـ، ومنه إشارة المرسوم الملكي رقم (م/44) وتاريخ 8/2/1446هـ إلى تعريف الاستقالة </w:t>
      </w:r>
      <w:hyperlink w:history="1" r:id="rIdfmlaiijkzl2rneetmenas">
        <w:r>
          <w:rPr>
            <w:rStyle w:val="Hyperlink"/>
            <w:sz w:val="16"/>
            <w:szCs w:val="16"/>
          </w:rPr>
          <w:t xml:space="preserve">https://laws.boe.gov.sa/BoeLaws/Laws/LawDetails/08381293-6388-48e2-8ad2-a9a700f2aa94/1</w:t>
        </w:r>
      </w:hyperlink>
    </w:p>
    <w:p>
      <w:pPr>
        <w:bidi/>
        <w:ind w:start="360" w:hanging="360"/>
      </w:pPr>
      <w:r>
        <w:rPr>
          <w:sz w:val="18"/>
          <w:szCs w:val="18"/>
          <w:rtl/>
        </w:rPr>
        <w:t xml:space="preserve">[2] تشريعات الإمارات، المرسوم بقانون اتحادي رقم (33) لسنة 2021 بشأن تنظيم علاقات العمل (قُرئ النص الإنجليزي من التحميل الرسمي؛ المواد 3 و8 و9 و42 و43 و51) </w:t>
      </w:r>
      <w:hyperlink w:history="1" r:id="rIdny_1xdtmh6ff73idnkdav">
        <w:r>
          <w:rPr>
            <w:rStyle w:val="Hyperlink"/>
            <w:sz w:val="16"/>
            <w:szCs w:val="16"/>
          </w:rPr>
          <w:t xml:space="preserve">https://uaelegislation.gov.ae/en/legislations/1541</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في السعودية موافقة العامل يجب أن تكون مكتوبة.</w:t>
      </w:r>
      <w:r>
        <w:rPr>
          <w:rtl/>
        </w:rPr>
        <w:t xml:space="preserve"> [1]</w:t>
      </w:r>
      <w:r>
        <w:rPr>
          <w:rtl/>
        </w:rPr>
        <w:t xml:space="preserve"> وفي الإمارات الاتفاق كتابةً.</w:t>
      </w:r>
      <w:r>
        <w:rPr>
          <w:rtl/>
        </w:rPr>
        <w:t xml:space="preserve"> [2]</w:t>
      </w:r>
    </w:p>
  </w:comment>
  <w:comment w:id="1" w:initials="Q" w:author="Qanu" w:date="2026-10-22T00:00:00.000Z">
    <w:p>
      <w:pPr>
        <w:bidi/>
      </w:pPr>
      <w:r>
        <w:rPr>
          <w:b/>
          <w:bCs/>
          <w:rtl/>
        </w:rPr>
        <w:t xml:space="preserve">ملاحظة صياغة</w:t>
      </w:r>
    </w:p>
    <w:p>
      <w:pPr>
        <w:bidi/>
      </w:pPr>
      <w:r>
        <w:rPr>
          <w:rtl/>
        </w:rPr>
        <w:t xml:space="preserve">في السعودية تُصفَّى الحقوق خلال أسبوع أو أسبوعين وفق المادة الثامنة والثمانين.</w:t>
      </w:r>
      <w:r>
        <w:rPr>
          <w:rtl/>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FBEFAD3A-35F5-2059-937D-BC8DFFA603E1}"/>
    <w:embedBold r:id="rId2" w:fontKey="{5CAA00A0-3BE0-9A42-389E-309D279A94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‪https://www.qanu.ai/ar/نماذج/نموذج-إنهاء-عقد-عمل-بالتراضي‬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‪https://www.qanu.ai/ar/نماذج/نموذج-إنهاء-عقد-عمل-بالتراضي‬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ilijx8go40rhcpcwytasw" Type="http://schemas.openxmlformats.org/officeDocument/2006/relationships/hyperlink" Target="https://laws.boe.gov.sa/BoeLaws/Laws/LawDetails/08381293-6388-48e2-8ad2-a9a700f2aa94/1" TargetMode="External"/><Relationship Id="rIdqs4c9igjb5zquhoday4io" Type="http://schemas.openxmlformats.org/officeDocument/2006/relationships/hyperlink" Target="https://uaelegislation.gov.ae/en/legislations/1541" TargetMode="External"/><Relationship Id="rId7lzkswvn9tuy1rvsmatej" Type="http://schemas.openxmlformats.org/officeDocument/2006/relationships/hyperlink" Target="https://www.qanu.ai/ar/%D9%86%D9%85%D8%A7%D8%B0%D8%AC/%D9%86%D9%85%D9%88%D8%B0%D8%AC-%D9%85%D8%AE%D8%A7%D9%84%D8%B5%D8%A9-%D9%86%D9%87%D8%A7%D8%A6%D9%8A%D8%A9" TargetMode="External"/><Relationship Id="rIdfzjjplt7h4kqpbpyx5ck8" Type="http://schemas.openxmlformats.org/officeDocument/2006/relationships/hyperlink" Target="https://www.qanu.ai/ar/%D9%85%D8%B3%D8%B1%D8%AF-%D9%82%D8%A7%D9%86%D9%88%D9%86%D9%8A/%D8%B4%D9%87%D8%A7%D8%AF%D8%A9-%D8%A7%D9%84%D8%AE%D8%AF%D9%85%D8%A9" TargetMode="External"/><Relationship Id="rIdevbbgebktrb_mwzdklcph" Type="http://schemas.openxmlformats.org/officeDocument/2006/relationships/hyperlink" Target="https://www.qanu.ai/ar/%D9%85%D8%B3%D8%B1%D8%AF-%D9%82%D8%A7%D9%86%D9%88%D9%86%D9%8A/%D9%85%D9%83%D8%A7%D9%81%D8%A3%D8%A9-%D9%86%D9%87%D8%A7%D9%8A%D8%A9-%D8%A7%D9%84%D8%AE%D8%AF%D9%85%D8%A9" TargetMode="External"/><Relationship Id="rIdi9usmflk2mtrlh6_bty9z" Type="http://schemas.openxmlformats.org/officeDocument/2006/relationships/hyperlink" Target="https://creativecommons.org/licenses/by/4.0/deed.ar" TargetMode="External"/><Relationship Id="rIdfmlaiijkzl2rneetmenas" Type="http://schemas.openxmlformats.org/officeDocument/2006/relationships/hyperlink" Target="https://laws.boe.gov.sa/BoeLaws/Laws/LawDetails/08381293-6388-48e2-8ad2-a9a700f2aa94/1" TargetMode="External"/><Relationship Id="rIdny_1xdtmh6ff73idnkdav" Type="http://schemas.openxmlformats.org/officeDocument/2006/relationships/hyperlink" Target="https://uaelegislation.gov.ae/en/legislations/1541"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إنهاء عقد عمل بالتراضي</dc:title>
  <dc:creator>Qanu</dc:creator>
  <cp:keywords>إنهاء عقد عمل بالتراضي, مخالصة,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2026-10-23T18:59:24.466Z</dcterms:created>
  <dcterms:modified xsi:type="dcterms:W3CDTF">2026-10-23T18:59:24.466Z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https://www.qanu.ai/ar/نماذج/نموذج-إنهاء-عقد-عمل-بالتراضي</vt:lpwstr>
  </property>
</Properties>
</file>