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البيانات الشخصية.</w:t>
      </w:r>
      <w:r>
        <w:rPr>
          <w:rtl/>
        </w:rPr>
        <w:t xml:space="preserve"> إذا تضمنت المعلومات بيانات شخصية التزم كل طرف بنظام حماية البيانات الشخصية في المملكة العربية السعودية، وتتولى الهيئة السعودية للبيانات والذكاء الاصطناعي (سدايا) الإشراف عليه، أو بمرسوم بقانون اتحادي رقم (45) لسنة 2021 في شأن حماية البيانات الشخصية في الإمارات. تقتصر هذه الملاحظة على وجود النظامين وتسمية جهة الإشراف في المملكة، ولا تلخص أحكامهما.</w:t>
      </w:r>
      <w:r>
        <w:rPr>
          <w:rtl/>
        </w:rPr>
        <w:t xml:space="preserve"> [1][2]</w:t>
      </w:r>
      <w:r>
        <w:rPr>
          <w:rtl/>
        </w:rPr>
        <w:t xml:space="preserve"> وانظروا </w:t>
      </w:r>
      <w:hyperlink w:history="1" r:id="rId_qp_vq9-kcc7ee8-_zvhr">
        <w:r>
          <w:rPr>
            <w:rStyle w:val="Hyperlink"/>
            <w:rtl/>
          </w:rPr>
          <w:t xml:space="preserve">حماية البيانات الشخصية</w:t>
        </w:r>
      </w:hyperlink>
      <w:r>
        <w:rPr>
          <w:rtl/>
        </w:rPr>
        <w:t xml:space="preserve"> و</w:t>
      </w:r>
      <w:hyperlink w:history="1" r:id="rIdwqrshinmxmoa0kbwnjtko">
        <w:r>
          <w:rPr>
            <w:rStyle w:val="Hyperlink"/>
            <w:rtl/>
          </w:rPr>
          <w:t xml:space="preserve">دليل حماية البيانات الشخصية في الخليج</w:t>
        </w:r>
      </w:hyperlink>
      <w:r>
        <w:rPr>
          <w:rtl/>
        </w:rPr>
        <w:t xml:space="preserve">.</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سدايا – نظام حماية البيانات الشخصية: </w:t>
      </w:r>
      <w:hyperlink w:history="1" r:id="rId-g0xuxptkcvp0xusfehaw">
        <w:r>
          <w:rPr>
            <w:rStyle w:val="Hyperlink"/>
            <w:sz w:val="17"/>
            <w:szCs w:val="17"/>
          </w:rPr>
          <w:t xml:space="preserve">‪https://dgp.sdaia.gov.sa/wps/portal/pdp/home‬</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قوانين حماية البيانات في الإمارات: </w:t>
      </w:r>
      <w:hyperlink w:history="1" r:id="rId-mtqzfd1w7t091d_e4nch">
        <w:r>
          <w:rPr>
            <w:rStyle w:val="Hyperlink"/>
            <w:sz w:val="17"/>
            <w:szCs w:val="17"/>
          </w:rPr>
          <w:t xml:space="preserve">‪https://u.ae/en/about-the-uae/digital-uae/data/data-protection-laws‬</w:t>
        </w:r>
      </w:hyperlink>
    </w:p>
    <w:p>
      <w:pPr>
        <w:bidi/>
        <w:spacing w:after="240"/>
      </w:pPr>
    </w:p>
    <w:p>
      <w:pPr>
        <w:pStyle w:val="Title"/>
        <w:bidi/>
      </w:pPr>
      <w:r>
        <w:rPr>
          <w:rtl/>
        </w:rPr>
        <w:t xml:space="preserve">اتفاقية عدم إفصاح</w:t>
      </w:r>
    </w:p>
    <w:p>
      <w:pPr>
        <w:bidi/>
        <w:spacing w:after="240"/>
      </w:pPr>
      <w:r>
        <w:rPr>
          <w:color w:val="444444"/>
          <w:rtl/>
        </w:rPr>
        <w:t xml:space="preserve">اتفاقية سرية لدول الخليج، متبادلة أو من طرف واحد. احذفوا الخيار الذي لا ينطبق. وهي لا تغني عن قيد السرية على العامل بعد انتهاء العلاقة.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الطرفان</w:t>
      </w:r>
      <w:commentRangeEnd w:id="0"/>
      <w:r>
        <w:rPr>
          <w:rtl/>
        </w:rPr>
        <w:commentReference w:id="0"/>
      </w:r>
    </w:p>
    <w:p>
      <w:pPr>
        <w:bidi/>
      </w:pPr>
      <w:r>
        <w:rPr>
          <w:rtl/>
        </w:rPr>
        <w:t xml:space="preserve">حُرِّرت هذه الاتفاقية بتاريخ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الطرف (أ): الاسم، رقم الهوية/السجل التجاري، العنوان</w:t>
      </w:r>
      <w:r>
        <w:rPr>
          <w:highlight w:val="yellow"/>
          <w:rtl/>
        </w:rPr>
        <w:t xml:space="preserve">]</w:t>
      </w:r>
      <w:r>
        <w:rPr>
          <w:rtl/>
        </w:rPr>
        <w:t xml:space="preserve"> و</w:t>
      </w:r>
      <w:r>
        <w:rPr>
          <w:highlight w:val="yellow"/>
          <w:rtl/>
        </w:rPr>
        <w:t xml:space="preserve">[</w:t>
      </w:r>
      <w:r>
        <w:rPr>
          <w:highlight w:val="yellow"/>
          <w:rtl/>
        </w:rPr>
        <w:t xml:space="preserve">الطرف (ب): الاسم، رقم الهوية/السجل التجاري، العنوان</w:t>
      </w:r>
      <w:r>
        <w:rPr>
          <w:highlight w:val="yellow"/>
          <w:rtl/>
        </w:rPr>
        <w:t xml:space="preserve">]</w:t>
      </w:r>
      <w:r>
        <w:rPr>
          <w:rtl/>
        </w:rPr>
        <w:t xml:space="preserve">.</w:t>
      </w:r>
    </w:p>
    <w:p>
      <w:pPr>
        <w:bidi/>
      </w:pPr>
      <w:r>
        <w:rPr>
          <w:b/>
          <w:bCs/>
          <w:rtl/>
        </w:rPr>
        <w:t xml:space="preserve">خيار (أ) – متبادلة:</w:t>
      </w:r>
      <w:r>
        <w:rPr>
          <w:rtl/>
        </w:rPr>
        <w:t xml:space="preserve"> يجوز لكل طرف الإفصاح للآخر عن معلومات سرية، فيكون كلٌّ منهما مُفصِحاً ومتلقّياً.</w:t>
      </w:r>
    </w:p>
    <w:p>
      <w:pPr>
        <w:bidi/>
      </w:pPr>
      <w:r>
        <w:rPr>
          <w:b/>
          <w:bCs/>
          <w:rtl/>
        </w:rPr>
        <w:t xml:space="preserve">خيار (ب) – من طرف واحد:</w:t>
      </w:r>
      <w:r>
        <w:rPr>
          <w:rtl/>
        </w:rPr>
        <w:t xml:space="preserve"> يُفصح </w:t>
      </w:r>
      <w:r>
        <w:rPr>
          <w:highlight w:val="yellow"/>
          <w:rtl/>
        </w:rPr>
        <w:t xml:space="preserve">[</w:t>
      </w:r>
      <w:r>
        <w:rPr>
          <w:highlight w:val="yellow"/>
          <w:rtl/>
        </w:rPr>
        <w:t xml:space="preserve">الطرف المُفصِح</w:t>
      </w:r>
      <w:r>
        <w:rPr>
          <w:highlight w:val="yellow"/>
          <w:rtl/>
        </w:rPr>
        <w:t xml:space="preserve">]</w:t>
      </w:r>
      <w:r>
        <w:rPr>
          <w:rtl/>
        </w:rPr>
        <w:t xml:space="preserve"> إلى </w:t>
      </w:r>
      <w:r>
        <w:rPr>
          <w:highlight w:val="yellow"/>
          <w:rtl/>
        </w:rPr>
        <w:t xml:space="preserve">[</w:t>
      </w:r>
      <w:r>
        <w:rPr>
          <w:highlight w:val="yellow"/>
          <w:rtl/>
        </w:rPr>
        <w:t xml:space="preserve">الطرف المتلقّي</w:t>
      </w:r>
      <w:r>
        <w:rPr>
          <w:highlight w:val="yellow"/>
          <w:rtl/>
        </w:rPr>
        <w:t xml:space="preserve">]</w:t>
      </w:r>
      <w:r>
        <w:rPr>
          <w:rtl/>
        </w:rPr>
        <w:t xml:space="preserve">. ولا تُلزم البنود من (5) إلى (8) إلا المتلقّي.</w:t>
      </w:r>
    </w:p>
    <w:p>
      <w:pPr>
        <w:pStyle w:val="Heading1"/>
        <w:bidi/>
      </w:pPr>
      <w:commentRangeStart w:id="1"/>
      <w:r>
        <w:rPr>
          <w:rtl/>
        </w:rPr>
        <w:t xml:space="preserve">البند (2): الغرض</w:t>
      </w:r>
      <w:commentRangeEnd w:id="1"/>
      <w:r>
        <w:rPr>
          <w:rtl/>
        </w:rPr>
        <w:commentReference w:id="1"/>
      </w:r>
    </w:p>
    <w:p>
      <w:pPr>
        <w:bidi/>
      </w:pPr>
      <w:r>
        <w:rPr>
          <w:rtl/>
        </w:rPr>
        <w:t xml:space="preserve">ينظر الطرفان في </w:t>
      </w:r>
      <w:r>
        <w:rPr>
          <w:highlight w:val="yellow"/>
          <w:rtl/>
        </w:rPr>
        <w:t xml:space="preserve">[</w:t>
      </w:r>
      <w:r>
        <w:rPr>
          <w:highlight w:val="yellow"/>
          <w:rtl/>
        </w:rPr>
        <w:t xml:space="preserve">الصفقة/المشروع المقترح</w:t>
      </w:r>
      <w:r>
        <w:rPr>
          <w:highlight w:val="yellow"/>
          <w:rtl/>
        </w:rPr>
        <w:t xml:space="preserve">]</w:t>
      </w:r>
      <w:r>
        <w:rPr>
          <w:rtl/>
        </w:rPr>
        <w:t xml:space="preserve"> («الغرض»).</w:t>
      </w:r>
    </w:p>
    <w:p>
      <w:pPr>
        <w:pStyle w:val="Heading1"/>
        <w:bidi/>
      </w:pPr>
      <w:r>
        <w:rPr>
          <w:rtl/>
        </w:rPr>
        <w:t xml:space="preserve">البند (3): المعلومات السرية</w:t>
      </w:r>
    </w:p>
    <w:p>
      <w:pPr>
        <w:bidi/>
      </w:pPr>
      <w:r>
        <w:rPr>
          <w:rtl/>
        </w:rPr>
        <w:t xml:space="preserve">«المعلومات السرية» هي جميع المعلومات غير المتاحة للعموم التي يُفصَح عنها بأي وسيلة لتحقيق الغرض، ومنها </w:t>
      </w:r>
      <w:r>
        <w:rPr>
          <w:highlight w:val="yellow"/>
          <w:rtl/>
        </w:rPr>
        <w:t xml:space="preserve">[</w:t>
      </w:r>
      <w:r>
        <w:rPr>
          <w:highlight w:val="yellow"/>
          <w:rtl/>
        </w:rPr>
        <w:t xml:space="preserve">أمثلة: بيانات مالية، وقوائم عملاء، وبيانات فنية، ووجود المفاوضات</w:t>
      </w:r>
      <w:r>
        <w:rPr>
          <w:highlight w:val="yellow"/>
          <w:rtl/>
        </w:rPr>
        <w:t xml:space="preserve">]</w:t>
      </w:r>
      <w:r>
        <w:rPr>
          <w:rtl/>
        </w:rPr>
        <w:t xml:space="preserve">.</w:t>
      </w:r>
    </w:p>
    <w:p>
      <w:pPr>
        <w:pStyle w:val="Heading1"/>
        <w:bidi/>
      </w:pPr>
      <w:r>
        <w:rPr>
          <w:rtl/>
        </w:rPr>
        <w:t xml:space="preserve">البند (4): الاستثناءات</w:t>
      </w:r>
    </w:p>
    <w:p>
      <w:pPr>
        <w:bidi/>
      </w:pPr>
      <w:r>
        <w:rPr>
          <w:rtl/>
        </w:rPr>
        <w:t xml:space="preserve">لا تُعدّ من المعلومات السرية المعلومات التي أصبحت متاحة للعموم دون إخلال بهذه الاتفاقية، أو كانت معلومة للمتلقّي بوجه مشروع، أو طوّرها مستقلاً، أو تلقّاها بوجه مشروع من الغير غير الملتزم بواجب السرية.</w:t>
      </w:r>
    </w:p>
    <w:p>
      <w:pPr>
        <w:pStyle w:val="Heading1"/>
        <w:bidi/>
      </w:pPr>
      <w:r>
        <w:rPr>
          <w:rtl/>
        </w:rPr>
        <w:t xml:space="preserve">البند (5): الالتزامات</w:t>
      </w:r>
    </w:p>
    <w:p>
      <w:pPr>
        <w:bidi/>
      </w:pPr>
      <w:r>
        <w:rPr>
          <w:rtl/>
        </w:rPr>
        <w:t xml:space="preserve">يستخدم المتلقّي المعلومات للغرض فقط، ويحميها بعناية معقولة، ولا يُفصح عنها إلا لموظفيه ومستشاريه الذين تقتضي مهامهم الاطلاع عليها والملتزمين بسرية لا تقل عن هذه الالتزامات.</w:t>
      </w:r>
    </w:p>
    <w:p>
      <w:pPr>
        <w:pStyle w:val="Heading1"/>
        <w:bidi/>
      </w:pPr>
      <w:r>
        <w:rPr>
          <w:rtl/>
        </w:rPr>
        <w:t xml:space="preserve">البند (6): الإفصاح النظامي</w:t>
      </w:r>
    </w:p>
    <w:p>
      <w:pPr>
        <w:bidi/>
      </w:pPr>
      <w:r>
        <w:rPr>
          <w:rtl/>
        </w:rPr>
        <w:t xml:space="preserve">يجوز الإفصاح بالقدر الذي يوجبه النظام أو تطلبه جهة مختصة، مع إخطار الطرف المُفصِح فوراً متى جاز ذلك نظاماً.</w:t>
      </w:r>
    </w:p>
    <w:p>
      <w:pPr>
        <w:pStyle w:val="Heading1"/>
        <w:bidi/>
      </w:pPr>
      <w:commentRangeStart w:id="2"/>
      <w:r>
        <w:rPr>
          <w:rtl/>
        </w:rPr>
        <w:t xml:space="preserve">البند (7): البيانات الشخصية</w:t>
      </w:r>
      <w:commentRangeEnd w:id="2"/>
      <w:r>
        <w:rPr>
          <w:rtl/>
        </w:rPr>
        <w:commentReference w:id="2"/>
      </w:r>
    </w:p>
    <w:p>
      <w:pPr>
        <w:bidi/>
      </w:pPr>
      <w:r>
        <w:rPr>
          <w:rtl/>
        </w:rPr>
        <w:t xml:space="preserve">إذا تضمنت المعلومات بيانات شخصية التزم كل طرف بنظام حماية البيانات الشخصية المعمول به.</w:t>
      </w:r>
    </w:p>
    <w:p>
      <w:pPr>
        <w:pStyle w:val="Heading1"/>
        <w:bidi/>
      </w:pPr>
      <w:r>
        <w:rPr>
          <w:rtl/>
        </w:rPr>
        <w:t xml:space="preserve">البند (8): الإعادة أو الإتلاف</w:t>
      </w:r>
    </w:p>
    <w:p>
      <w:pPr>
        <w:bidi/>
      </w:pPr>
      <w:r>
        <w:rPr>
          <w:rtl/>
        </w:rPr>
        <w:t xml:space="preserve">عند طلب المُفصِح كتابةً، أو عند انتهاء هذه الاتفاقية، يعيد المتلقّي المعلومات السرية أو يتلفها، ويؤكد ذلك كتابةً، باستثناء نسخة واحدة يجوز لمستشاريه الاحتفاظ بها إذا أوجب النظام ذلك.</w:t>
      </w:r>
    </w:p>
    <w:p>
      <w:pPr>
        <w:pStyle w:val="Heading1"/>
        <w:bidi/>
      </w:pPr>
      <w:commentRangeStart w:id="3"/>
      <w:r>
        <w:rPr>
          <w:rtl/>
        </w:rPr>
        <w:t xml:space="preserve">البند (9): المدة</w:t>
      </w:r>
      <w:commentRangeEnd w:id="3"/>
      <w:r>
        <w:rPr>
          <w:rtl/>
        </w:rPr>
        <w:commentReference w:id="3"/>
      </w:r>
    </w:p>
    <w:p>
      <w:pPr>
        <w:bidi/>
      </w:pPr>
      <w:r>
        <w:rPr>
          <w:rtl/>
        </w:rPr>
        <w:t xml:space="preserve">تسري هذه الاتفاقية لمدة </w:t>
      </w:r>
      <w:r>
        <w:rPr>
          <w:highlight w:val="yellow"/>
          <w:rtl/>
        </w:rPr>
        <w:t xml:space="preserve">[</w:t>
      </w:r>
      <w:r>
        <w:rPr>
          <w:highlight w:val="yellow"/>
          <w:rtl/>
        </w:rPr>
        <w:t xml:space="preserve">●</w:t>
      </w:r>
      <w:r>
        <w:rPr>
          <w:highlight w:val="yellow"/>
          <w:rtl/>
        </w:rPr>
        <w:t xml:space="preserve">]</w:t>
      </w:r>
      <w:r>
        <w:rPr>
          <w:rtl/>
        </w:rPr>
        <w:t xml:space="preserve"> سنوات من التاريخ المبيّن أعلاه، ويستمر الالتزام بالسرية </w:t>
      </w:r>
      <w:r>
        <w:rPr>
          <w:highlight w:val="yellow"/>
          <w:rtl/>
        </w:rPr>
        <w:t xml:space="preserve">[</w:t>
      </w:r>
      <w:r>
        <w:rPr>
          <w:highlight w:val="yellow"/>
          <w:rtl/>
        </w:rPr>
        <w:t xml:space="preserve">●</w:t>
      </w:r>
      <w:r>
        <w:rPr>
          <w:highlight w:val="yellow"/>
          <w:rtl/>
        </w:rPr>
        <w:t xml:space="preserve">]</w:t>
      </w:r>
      <w:r>
        <w:rPr>
          <w:rtl/>
        </w:rPr>
        <w:t xml:space="preserve"> سنوات بعد انتهائها. أما الأسرار التجارية فتبقى محمية ما دامت سرية.</w:t>
      </w:r>
    </w:p>
    <w:p>
      <w:pPr>
        <w:pStyle w:val="Heading1"/>
        <w:bidi/>
      </w:pPr>
      <w:r>
        <w:rPr>
          <w:rtl/>
        </w:rPr>
        <w:t xml:space="preserve">البند (10): لا ترخيص ولا التزام بإتمام الصفقة</w:t>
      </w:r>
    </w:p>
    <w:p>
      <w:pPr>
        <w:bidi/>
      </w:pPr>
      <w:r>
        <w:rPr>
          <w:rtl/>
        </w:rPr>
        <w:t xml:space="preserve">لا تمنح هذه الاتفاقية ترخيصاً في المعلومات السرية، ولا يلتزم أي طرف بإتمام الغرض أو بالإفصاح عن معلومة بعينها.</w:t>
      </w:r>
    </w:p>
    <w:p>
      <w:pPr>
        <w:pStyle w:val="Heading1"/>
        <w:bidi/>
      </w:pPr>
      <w:commentRangeStart w:id="4"/>
      <w:r>
        <w:rPr>
          <w:rtl/>
        </w:rPr>
        <w:t xml:space="preserve">البند (11): الجزاءات</w:t>
      </w:r>
      <w:commentRangeEnd w:id="4"/>
      <w:r>
        <w:rPr>
          <w:rtl/>
        </w:rPr>
        <w:commentReference w:id="4"/>
      </w:r>
    </w:p>
    <w:p>
      <w:pPr>
        <w:bidi/>
      </w:pPr>
      <w:r>
        <w:rPr>
          <w:b/>
          <w:bCs/>
          <w:rtl/>
        </w:rPr>
        <w:t xml:space="preserve">خيار:</w:t>
      </w:r>
      <w:r>
        <w:rPr>
          <w:rtl/>
        </w:rPr>
        <w:t xml:space="preserve"> يلتزم الطرف المخلّ بشرط جزائي قدره </w:t>
      </w:r>
      <w:r>
        <w:rPr>
          <w:highlight w:val="yellow"/>
          <w:rtl/>
        </w:rPr>
        <w:t xml:space="preserve">[</w:t>
      </w:r>
      <w:r>
        <w:rPr>
          <w:highlight w:val="yellow"/>
          <w:rtl/>
        </w:rPr>
        <w:t xml:space="preserve">●</w:t>
      </w:r>
      <w:r>
        <w:rPr>
          <w:highlight w:val="yellow"/>
          <w:rtl/>
        </w:rPr>
        <w:t xml:space="preserve">]</w:t>
      </w:r>
      <w:r>
        <w:rPr>
          <w:rtl/>
        </w:rPr>
        <w:t xml:space="preserve">.</w:t>
      </w:r>
    </w:p>
    <w:p>
      <w:pPr>
        <w:bidi/>
      </w:pPr>
      <w:r>
        <w:rPr>
          <w:rtl/>
        </w:rPr>
        <w:t xml:space="preserve">ولكل طرف اللجوء إلى المحكمة المختصة لطلب الإجراءات الوقتية.</w:t>
      </w:r>
    </w:p>
    <w:p>
      <w:pPr>
        <w:pStyle w:val="Heading1"/>
        <w:bidi/>
      </w:pPr>
      <w:commentRangeStart w:id="5"/>
      <w:r>
        <w:rPr>
          <w:rtl/>
        </w:rPr>
        <w:t xml:space="preserve">البند (12): النظام الواجب التطبيق وتسوية النزاعات واللغة والتوقيع</w:t>
      </w:r>
      <w:commentRangeEnd w:id="5"/>
      <w:r>
        <w:rPr>
          <w:rtl/>
        </w:rPr>
        <w:commentReference w:id="5"/>
      </w:r>
    </w:p>
    <w:p>
      <w:pPr>
        <w:bidi/>
      </w:pPr>
      <w:r>
        <w:rPr>
          <w:rtl/>
        </w:rPr>
        <w:t xml:space="preserve">تخضع هذه الاتفاقية لأنظمة </w:t>
      </w:r>
      <w:r>
        <w:rPr>
          <w:highlight w:val="yellow"/>
          <w:rtl/>
        </w:rPr>
        <w:t xml:space="preserve">[</w:t>
      </w:r>
      <w:r>
        <w:rPr>
          <w:highlight w:val="yellow"/>
          <w:rtl/>
        </w:rPr>
        <w:t xml:space="preserve">الدولة</w:t>
      </w:r>
      <w:r>
        <w:rPr>
          <w:highlight w:val="yellow"/>
          <w:rtl/>
        </w:rPr>
        <w:t xml:space="preserve">]</w:t>
      </w:r>
      <w:r>
        <w:rPr>
          <w:rtl/>
        </w:rPr>
        <w:t xml:space="preserve">، وتُحال نزاعاتها إلى </w:t>
      </w:r>
      <w:r>
        <w:rPr>
          <w:highlight w:val="yellow"/>
          <w:rtl/>
        </w:rPr>
        <w:t xml:space="preserve">[</w:t>
      </w:r>
      <w:r>
        <w:rPr>
          <w:highlight w:val="yellow"/>
          <w:rtl/>
        </w:rPr>
        <w:t xml:space="preserve">محاكم ●/التحكيم وفق ●</w:t>
      </w:r>
      <w:r>
        <w:rPr>
          <w:highlight w:val="yellow"/>
          <w:rtl/>
        </w:rPr>
        <w:t xml:space="preserve">]</w:t>
      </w:r>
      <w:r>
        <w:rPr>
          <w:rtl/>
        </w:rPr>
        <w:t xml:space="preserve">. وحُرِّرت بالعربية والإنجليزية ويُعتمد النص العربي عند التعارض، من نسختين.</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(أ):</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(ب):</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الموظفون</w:t>
      </w:r>
    </w:p>
    <w:p>
      <w:pPr>
        <w:bidi/>
      </w:pPr>
      <w:r>
        <w:rPr>
          <w:rtl/>
        </w:rPr>
        <w:t xml:space="preserve">لا تُستخدم هذه الاتفاقية قيداً على العامل بعد انتهاء العلاقة. استخدموا نموذج عقد العمل، وأبقوا القيد في الحدود التي يقررها النظام.</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الدولة</w:t>
            </w:r>
          </w:p>
        </w:tc>
        <w:tc>
          <w:tcPr>
            <w:shd w:fill="EDEDED" w:color="auto" w:val="clear"/>
            <w:tcMar>
              <w:top w:type="dxa" w:w="80"/>
              <w:left w:type="dxa" w:w="100"/>
              <w:bottom w:type="dxa" w:w="80"/>
              <w:right w:type="dxa" w:w="100"/>
            </w:tcMar>
          </w:tcPr>
          <w:p>
            <w:pPr>
              <w:bidi/>
              <w:spacing w:after="0"/>
            </w:pPr>
            <w:r>
              <w:rPr>
                <w:b/>
                <w:bCs/>
                <w:sz w:val="18"/>
                <w:szCs w:val="18"/>
                <w:rtl/>
              </w:rPr>
              <w:t xml:space="preserve">الحد</w:t>
            </w:r>
          </w:p>
        </w:tc>
      </w:tr>
      <w:tr>
        <w:trPr>
          <w:cantSplit/>
        </w:trPr>
        <w:tc>
          <w:tcPr>
            <w:tcMar>
              <w:top w:type="dxa" w:w="80"/>
              <w:left w:type="dxa" w:w="100"/>
              <w:bottom w:type="dxa" w:w="80"/>
              <w:right w:type="dxa" w:w="100"/>
            </w:tcMar>
          </w:tcPr>
          <w:p>
            <w:pPr>
              <w:bidi/>
              <w:spacing w:after="0"/>
            </w:pPr>
            <w:r>
              <w:rPr>
                <w:b w:val="false"/>
                <w:sz w:val="18"/>
                <w:szCs w:val="18"/>
                <w:rtl/>
              </w:rPr>
              <w:t xml:space="preserve">المملكة العربية السعودية</w:t>
            </w:r>
          </w:p>
        </w:tc>
        <w:tc>
          <w:tcPr>
            <w:tcMar>
              <w:top w:type="dxa" w:w="80"/>
              <w:left w:type="dxa" w:w="100"/>
              <w:bottom w:type="dxa" w:w="80"/>
              <w:right w:type="dxa" w:w="100"/>
            </w:tcMar>
          </w:tcPr>
          <w:p>
            <w:pPr>
              <w:bidi/>
              <w:spacing w:after="0"/>
            </w:pPr>
            <w:r>
              <w:rPr>
                <w:b w:val="false"/>
                <w:sz w:val="18"/>
                <w:szCs w:val="18"/>
                <w:rtl/>
              </w:rPr>
              <w:t xml:space="preserve">يجب أن يكون شرط السرية أو عدم المنافسة مكتوباً ومحدداً زماناً ومكاناً ونوعَ عمل، وألا تزيد مدته على سنتين بعد انتهاء العلاقة (نظام العمل، المادة 83).</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الإمارات العربية المتحدة</w:t>
            </w:r>
          </w:p>
        </w:tc>
        <w:tc>
          <w:tcPr>
            <w:tcMar>
              <w:top w:type="dxa" w:w="80"/>
              <w:left w:type="dxa" w:w="100"/>
              <w:bottom w:type="dxa" w:w="80"/>
              <w:right w:type="dxa" w:w="100"/>
            </w:tcMar>
          </w:tcPr>
          <w:p>
            <w:pPr>
              <w:bidi/>
              <w:spacing w:after="0"/>
            </w:pPr>
            <w:r>
              <w:rPr>
                <w:b w:val="false"/>
                <w:sz w:val="18"/>
                <w:szCs w:val="18"/>
                <w:rtl/>
              </w:rPr>
              <w:t xml:space="preserve">يجب أن يكون شرط عدم المنافسة محدداً زماناً ومكاناً ونوعَ عمل، وألا تزيد مدته على سنتين بعد انتهاء العقد (المادة 10).</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موضع البند</w:t>
            </w:r>
          </w:p>
        </w:tc>
        <w:tc>
          <w:tcPr>
            <w:tcMar>
              <w:top w:type="dxa" w:w="80"/>
              <w:left w:type="dxa" w:w="100"/>
              <w:bottom w:type="dxa" w:w="80"/>
              <w:right w:type="dxa" w:w="100"/>
            </w:tcMar>
          </w:tcPr>
          <w:p>
            <w:pPr>
              <w:bidi/>
              <w:spacing w:after="0"/>
            </w:pPr>
            <w:r>
              <w:rPr>
                <w:b w:val="false"/>
                <w:sz w:val="18"/>
                <w:szCs w:val="18"/>
                <w:rtl/>
              </w:rPr>
              <w:t xml:space="preserve">في </w:t>
            </w:r>
            <w:hyperlink w:history="1" r:id="rIduet4a8hjbm8n-w_vmzcro">
              <w:r>
                <w:rPr>
                  <w:rStyle w:val="Hyperlink"/>
                  <w:b w:val="false"/>
                  <w:sz w:val="18"/>
                  <w:szCs w:val="18"/>
                  <w:rtl/>
                </w:rPr>
                <w:t xml:space="preserve">نموذج عقد العمل</w:t>
              </w:r>
            </w:hyperlink>
            <w:r>
              <w:rPr>
                <w:b w:val="false"/>
                <w:sz w:val="18"/>
                <w:szCs w:val="18"/>
                <w:rtl/>
              </w:rPr>
              <w:t xml:space="preserve">، لا في هذه الاتفاقية.</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faxcllut5xv4vqylb5f-c">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‪https://www.qanu.ai/ar/نماذج/نموذج-اتفاقية-عدم-إفصاح‬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الهيئة السعودية للبيانات والذكاء الاصطناعي (سدايا)، بوابة نظام حماية البيانات الشخصية </w:t>
      </w:r>
      <w:hyperlink w:history="1" r:id="rId56_gn8uwfwfvkgp0zme_e">
        <w:r>
          <w:rPr>
            <w:rStyle w:val="Hyperlink"/>
            <w:sz w:val="16"/>
            <w:szCs w:val="16"/>
          </w:rPr>
          <w:t xml:space="preserve">https://dgp.sdaia.gov.sa/wps/portal/pdp/home</w:t>
        </w:r>
      </w:hyperlink>
    </w:p>
    <w:p>
      <w:pPr>
        <w:bidi/>
        <w:ind w:start="360" w:hanging="360"/>
      </w:pPr>
      <w:r>
        <w:rPr>
          <w:sz w:val="18"/>
          <w:szCs w:val="18"/>
          <w:rtl/>
        </w:rPr>
        <w:t xml:space="preserve">[2] البوابة الرسمية لحكومة الإمارات (u.ae)، قوانين حماية البيانات </w:t>
      </w:r>
      <w:hyperlink w:history="1" r:id="rIdbbtixtl_cs0t2x15gypbb">
        <w:r>
          <w:rPr>
            <w:rStyle w:val="Hyperlink"/>
            <w:sz w:val="16"/>
            <w:szCs w:val="16"/>
          </w:rPr>
          <w:t xml:space="preserve">https://u.ae/en/about-the-uae/digital-uae/data/data-protection-laws</w:t>
        </w:r>
      </w:hyperlink>
    </w:p>
    <w:p>
      <w:pPr>
        <w:bidi/>
        <w:ind w:start="360" w:hanging="360"/>
      </w:pPr>
      <w:r>
        <w:rPr>
          <w:sz w:val="18"/>
          <w:szCs w:val="18"/>
          <w:rtl/>
        </w:rPr>
        <w:t xml:space="preserve">[3] وزارة الموارد البشرية والتنمية الاجتماعية، نظام العمل الصادر بالمرسوم الملكي رقم (م/51) وتاريخ 23/8/1426هـ، النص المحدَّث بتعديلاته حتى المرسوم الملكي رقم (م/44) وتاريخ 8/2/1446هـ (PDF) </w:t>
      </w:r>
      <w:hyperlink w:history="1" r:id="rIdxqglbdaw3-grx5tr-kbcn">
        <w:r>
          <w:rPr>
            <w:rStyle w:val="Hyperlink"/>
            <w:sz w:val="16"/>
            <w:szCs w:val="16"/>
          </w:rPr>
          <w:t xml:space="preserve">https://www.hrsd.gov.sa/sites/default/files/2025-11/labor-law.pdf</w:t>
        </w:r>
      </w:hyperlink>
    </w:p>
    <w:p>
      <w:pPr>
        <w:bidi/>
        <w:ind w:start="360" w:hanging="360"/>
      </w:pPr>
      <w:r>
        <w:rPr>
          <w:sz w:val="18"/>
          <w:szCs w:val="18"/>
          <w:rtl/>
        </w:rPr>
        <w:t xml:space="preserve">[4] البوابة الرسمية لحكومة الإمارات (u.ae)، عقود العمل في القطاع الخاص: مدتها ونماذجها </w:t>
      </w:r>
      <w:hyperlink w:history="1" r:id="rIdrb_xvqwzegkmv2auwe3bc">
        <w:r>
          <w:rPr>
            <w:rStyle w:val="Hyperlink"/>
            <w:sz w:val="16"/>
            <w:szCs w:val="16"/>
          </w:rPr>
          <w:t xml:space="preserve">https://u.ae/en/information-and-services/jobs/Sector-of-employment/employment-in-the-private-sector/employment-contracts-duration-and-models-in-the-private-sector</w:t>
        </w:r>
      </w:hyperlink>
    </w:p>
    <w:p>
      <w:pPr>
        <w:bidi/>
        <w:ind w:start="360" w:hanging="360"/>
      </w:pPr>
      <w:r>
        <w:rPr>
          <w:sz w:val="18"/>
          <w:szCs w:val="18"/>
          <w:rtl/>
        </w:rPr>
        <w:t xml:space="preserve">[5] الهيئة السعودية للملكية الفكرية </w:t>
      </w:r>
      <w:hyperlink w:history="1" r:id="rIdmgp97vdoy-ueeoedkxoek">
        <w:r>
          <w:rPr>
            <w:rStyle w:val="Hyperlink"/>
            <w:sz w:val="16"/>
            <w:szCs w:val="16"/>
          </w:rPr>
          <w:t xml:space="preserve">https://www.saip.gov.sa/</w:t>
        </w:r>
      </w:hyperlink>
    </w:p>
    <w:p>
      <w:pPr>
        <w:bidi/>
        <w:ind w:start="360" w:hanging="360"/>
      </w:pPr>
      <w:r>
        <w:rPr>
          <w:sz w:val="18"/>
          <w:szCs w:val="18"/>
          <w:rtl/>
        </w:rPr>
        <w:t xml:space="preserve">[6] تشريعات الإمارات، مرسوم بقانون اتحادي رقم (25) لسنة 2025 (قانون المعاملات المدنية) </w:t>
      </w:r>
      <w:hyperlink w:history="1" r:id="rIdzuzokl9d_fsfjooli4c2g">
        <w:r>
          <w:rPr>
            <w:rStyle w:val="Hyperlink"/>
            <w:sz w:val="16"/>
            <w:szCs w:val="16"/>
          </w:rPr>
          <w:t xml:space="preserve">https://uaelegislation.gov.ae/en/legislations/4011</w:t>
        </w:r>
      </w:hyperlink>
    </w:p>
    <w:p>
      <w:pPr>
        <w:bidi/>
        <w:ind w:start="360" w:hanging="360"/>
      </w:pPr>
      <w:r>
        <w:rPr>
          <w:sz w:val="18"/>
          <w:szCs w:val="18"/>
          <w:rtl/>
        </w:rPr>
        <w:t xml:space="preserve">[7] البوابة الرسمية لحكومة الإمارات (u.ae)، أين تُنشر القوانين الاتحادية </w:t>
      </w:r>
      <w:hyperlink w:history="1" r:id="rIdv6pdtvxxdqnbp4i4e4tjw">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احذفوا الخيار الذي لا ينطبق. وإذا كان الطرفان يتبادلان المعلومات فأبقوا الخيار (أ).</w:t>
      </w:r>
    </w:p>
  </w:comment>
  <w:comment w:id="1" w:initials="Q" w:author="Qanu" w:date="2026-10-17T00:00:00.000Z">
    <w:p>
      <w:pPr>
        <w:bidi/>
      </w:pPr>
      <w:r>
        <w:rPr>
          <w:b/>
          <w:bCs/>
          <w:rtl/>
        </w:rPr>
        <w:t xml:space="preserve">ملاحظة صياغة</w:t>
      </w:r>
    </w:p>
    <w:p>
      <w:pPr>
        <w:bidi/>
      </w:pPr>
      <w:r>
        <w:rPr>
          <w:rtl/>
        </w:rPr>
        <w:t xml:space="preserve">ضيّقوا الغرض. فكلما اتسع جاز استخدام المعلومات في نطاق أوسع.</w:t>
      </w:r>
    </w:p>
  </w:comment>
  <w:comment w:id="2" w:initials="Q" w:author="Qanu" w:date="2026-10-17T00:00:00.000Z">
    <w:p>
      <w:pPr>
        <w:bidi/>
      </w:pPr>
      <w:r>
        <w:rPr>
          <w:b/>
          <w:bCs/>
          <w:rtl/>
        </w:rPr>
        <w:t xml:space="preserve">ملاحظة صياغة</w:t>
      </w:r>
    </w:p>
    <w:p>
      <w:pPr>
        <w:bidi/>
      </w:pPr>
      <w:r>
        <w:rPr>
          <w:rtl/>
        </w:rPr>
        <w:t xml:space="preserve">في المملكة: نظام حماية البيانات الشخصية، وجهة الإشراف سدايا.</w:t>
      </w:r>
      <w:r>
        <w:rPr>
          <w:rtl/>
        </w:rPr>
        <w:t xml:space="preserve"> [1]</w:t>
      </w:r>
      <w:r>
        <w:rPr>
          <w:rtl/>
        </w:rPr>
        <w:t xml:space="preserve"> وفي الإمارات: المرسوم بقانون اتحادي رقم (45) لسنة 2021.</w:t>
      </w:r>
      <w:r>
        <w:rPr>
          <w:rtl/>
        </w:rPr>
        <w:t xml:space="preserve"> [2]</w:t>
      </w:r>
      <w:r>
        <w:rPr>
          <w:rtl/>
        </w:rPr>
        <w:t xml:space="preserve"> ولا يلخص هذا البند أحكام أيٍّ منهما. انظروا </w:t>
      </w:r>
      <w:hyperlink w:history="1" r:id="rIdkpey3n_qpcmr4o54jefpc">
        <w:r>
          <w:rPr>
            <w:rStyle w:val="Hyperlink"/>
            <w:rtl/>
          </w:rPr>
          <w:t xml:space="preserve">حماية البيانات الشخصية</w:t>
        </w:r>
      </w:hyperlink>
      <w:r>
        <w:rPr>
          <w:rtl/>
        </w:rPr>
        <w:t xml:space="preserve"> و</w:t>
      </w:r>
      <w:hyperlink w:history="1" r:id="rIdmluf2yqnjxute855yea9c">
        <w:r>
          <w:rPr>
            <w:rStyle w:val="Hyperlink"/>
            <w:rtl/>
          </w:rPr>
          <w:t xml:space="preserve">دليل حماية البيانات الشخصية في الخليج</w:t>
        </w:r>
      </w:hyperlink>
      <w:r>
        <w:rPr>
          <w:rtl/>
        </w:rPr>
        <w:t xml:space="preserve">.</w:t>
      </w:r>
    </w:p>
  </w:comment>
  <w:comment w:id="3" w:initials="Q" w:author="Qanu" w:date="2026-10-17T00:00:00.000Z">
    <w:p>
      <w:pPr>
        <w:bidi/>
      </w:pPr>
      <w:r>
        <w:rPr>
          <w:b/>
          <w:bCs/>
          <w:rtl/>
        </w:rPr>
        <w:t xml:space="preserve">ملاحظة صياغة</w:t>
      </w:r>
    </w:p>
    <w:p>
      <w:pPr>
        <w:bidi/>
      </w:pPr>
      <w:r>
        <w:rPr>
          <w:rtl/>
        </w:rPr>
        <w:t xml:space="preserve">بالنسبة إلى العامل استخدموا بنود السرية وعدم المنافسة في </w:t>
      </w:r>
      <w:hyperlink w:history="1" r:id="rId0xqvs0melk38bdjbf6twk">
        <w:r>
          <w:rPr>
            <w:rStyle w:val="Hyperlink"/>
            <w:rtl/>
          </w:rPr>
          <w:t xml:space="preserve">نموذج عقد العمل</w:t>
        </w:r>
      </w:hyperlink>
      <w:r>
        <w:rPr>
          <w:rtl/>
        </w:rPr>
        <w:t xml:space="preserve">. وفي المملكة يجب أن يكون شرط السرية بعد انتهاء العلاقة مكتوباً ومحدداً، وألا تزيد مدته على سنتين (نظام العمل، المادة 83).</w:t>
      </w:r>
      <w:r>
        <w:rPr>
          <w:rtl/>
        </w:rPr>
        <w:t xml:space="preserve"> [3]</w:t>
      </w:r>
      <w:r>
        <w:rPr>
          <w:rtl/>
        </w:rPr>
        <w:t xml:space="preserve"> وفي الإمارات لا تزيد مدة عدم المنافسة على سنتين ويجب تحديدها زماناً ومكاناً ونوعَ عمل (المادة 10).</w:t>
      </w:r>
      <w:r>
        <w:rPr>
          <w:rtl/>
        </w:rPr>
        <w:t xml:space="preserve"> [4]</w:t>
      </w:r>
    </w:p>
  </w:comment>
  <w:comment w:id="4" w:initials="Q" w:author="Qanu" w:date="2026-10-17T00:00:00.000Z">
    <w:p>
      <w:pPr>
        <w:bidi/>
      </w:pPr>
      <w:r>
        <w:rPr>
          <w:b/>
          <w:bCs/>
          <w:rtl/>
        </w:rPr>
        <w:t xml:space="preserve">ملاحظة صياغة</w:t>
      </w:r>
    </w:p>
    <w:p>
      <w:pPr>
        <w:bidi/>
      </w:pPr>
      <w:r>
        <w:rPr>
          <w:rtl/>
        </w:rPr>
        <w:t xml:space="preserve">انظروا </w:t>
      </w:r>
      <w:hyperlink w:history="1" r:id="rIdi3kfh2wn-4uykz551adbu">
        <w:r>
          <w:rPr>
            <w:rStyle w:val="Hyperlink"/>
            <w:rtl/>
          </w:rPr>
          <w:t xml:space="preserve">الشرط الجزائي</w:t>
        </w:r>
      </w:hyperlink>
      <w:r>
        <w:rPr>
          <w:rtl/>
        </w:rPr>
        <w:t xml:space="preserve">. واستشيروا محامياً قبل الاتفاق على مبلغ. ولا يبيّن هذا النموذج ما إذا كان للمحكمة تعديلُه، ولا يورد أرقام مواد من قانون المعاملات المدنية في الإمارات (المرسوم بقانون اتحادي رقم 25 لسنة 2025، ويُعمل به من 1 يونيو 2026).</w:t>
      </w:r>
      <w:r>
        <w:rPr>
          <w:rtl/>
        </w:rPr>
        <w:t xml:space="preserve"> [6]</w:t>
      </w:r>
    </w:p>
  </w:comment>
  <w:comment w:id="5" w:initials="Q" w:author="Qanu" w:date="2026-10-17T00:00:00.000Z">
    <w:p>
      <w:pPr>
        <w:bidi/>
      </w:pPr>
      <w:r>
        <w:rPr>
          <w:b/>
          <w:bCs/>
          <w:rtl/>
        </w:rPr>
        <w:t xml:space="preserve">ملاحظة صياغة</w:t>
      </w:r>
    </w:p>
    <w:p>
      <w:pPr>
        <w:bidi/>
      </w:pPr>
      <w:r>
        <w:rPr>
          <w:rtl/>
        </w:rPr>
        <w:t xml:space="preserve">في المملكة الهيئة السعودية للملكية الفكرية هي جهة الاختصاص في الملكية الفكرية، ومنها المعلومات التجارية السرية، وهذه الملاحظة لا تلخص أنظمتها.</w:t>
      </w:r>
      <w:r>
        <w:rPr>
          <w:rtl/>
        </w:rPr>
        <w:t xml:space="preserve"> [5]</w:t>
      </w:r>
      <w:r>
        <w:rPr>
          <w:rtl/>
        </w:rPr>
        <w:t xml:space="preserve"> وفي الإمارات قانون المعاملات المدنية هو المرسوم بقانون اتحادي رقم (25) لسنة 2025، ويُعمل به من 1 يونيو 2026، وتُنشر التشريعات الاتحادية في منصة تشريعات الإمارات.</w:t>
      </w:r>
      <w:r>
        <w:rPr>
          <w:rtl/>
        </w:rPr>
        <w:t xml:space="preserve"> [6][7]</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2AB77D2C-5A51-AA0D-3529-EB677A7696E4}"/>
    <w:embedBold r:id="rId2" w:fontKey="{737FF97E-18BD-14A7-98DD-E85E9C74AF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‪https://www.qanu.ai/ar/نماذج/نموذج-اتفاقية-عدم-إفصاح‬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‪https://www.qanu.ai/ar/نماذج/نموذج-اتفاقية-عدم-إفصاح‬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kpey3n_qpcmr4o54jefpc" Type="http://schemas.openxmlformats.org/officeDocument/2006/relationships/hyperlink" Target="https://www.qanu.ai/ar/%D9%85%D8%B3%D8%B1%D8%AF-%D9%82%D8%A7%D9%86%D9%88%D9%86%D9%8A/%D8%AD%D9%85%D8%A7%D9%8A%D8%A9-%D8%A7%D9%84%D8%A8%D9%8A%D8%A7%D9%86%D8%A7%D8%AA-%D8%A7%D9%84%D8%B4%D8%AE%D8%B5%D9%8A%D8%A9" TargetMode="External"/><Relationship Id="rIdmluf2yqnjxute855yea9c" Type="http://schemas.openxmlformats.org/officeDocument/2006/relationships/hyperlink" Target="https://www.qanu.ai/ar/%D8%A3%D8%AF%D9%84%D8%A9/%D8%AD%D9%85%D8%A7%D9%8A%D8%A9-%D8%A7%D9%84%D8%A8%D9%8A%D8%A7%D9%86%D8%A7%D8%AA-%D8%A7%D9%84%D8%B4%D8%AE%D8%B5%D9%8A%D8%A9-%D8%A7%D9%84%D8%AE%D9%84%D9%8A%D8%AC" TargetMode="External"/><Relationship Id="rId0xqvs0melk38bdjbf6twk" Type="http://schemas.openxmlformats.org/officeDocument/2006/relationships/hyperlink" Target="https://www.qanu.ai/ar/%D9%86%D9%85%D8%A7%D8%B0%D8%AC/%D9%86%D9%85%D9%88%D8%B0%D8%AC-%D8%B9%D9%82%D8%AF-%D8%B9%D9%85%D9%84" TargetMode="External"/><Relationship Id="rIdi3kfh2wn-4uykz551adbu" Type="http://schemas.openxmlformats.org/officeDocument/2006/relationships/hyperlink" Target="https://www.qanu.ai/ar/%D9%85%D8%B3%D8%B1%D8%AF-%D9%82%D8%A7%D9%86%D9%88%D9%86%D9%8A/%D8%B4%D8%B1%D8%B7-%D8%AC%D8%B2%D8%A7%D8%A6%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_qp_vq9-kcc7ee8-_zvhr" Type="http://schemas.openxmlformats.org/officeDocument/2006/relationships/hyperlink" Target="https://www.qanu.ai/ar/%D9%85%D8%B3%D8%B1%D8%AF-%D9%82%D8%A7%D9%86%D9%88%D9%86%D9%8A/%D8%AD%D9%85%D8%A7%D9%8A%D8%A9-%D8%A7%D9%84%D8%A8%D9%8A%D8%A7%D9%86%D8%A7%D8%AA-%D8%A7%D9%84%D8%B4%D8%AE%D8%B5%D9%8A%D8%A9" TargetMode="External"/><Relationship Id="rIdwqrshinmxmoa0kbwnjtko" Type="http://schemas.openxmlformats.org/officeDocument/2006/relationships/hyperlink" Target="https://www.qanu.ai/ar/%D8%A3%D8%AF%D9%84%D8%A9/%D8%AD%D9%85%D8%A7%D9%8A%D8%A9-%D8%A7%D9%84%D8%A8%D9%8A%D8%A7%D9%86%D8%A7%D8%AA-%D8%A7%D9%84%D8%B4%D8%AE%D8%B5%D9%8A%D8%A9-%D8%A7%D9%84%D8%AE%D9%84%D9%8A%D8%AC" TargetMode="External"/><Relationship Id="rId-g0xuxptkcvp0xusfehaw" Type="http://schemas.openxmlformats.org/officeDocument/2006/relationships/hyperlink" Target="https://dgp.sdaia.gov.sa/wps/portal/pdp/home" TargetMode="External"/><Relationship Id="rId-mtqzfd1w7t091d_e4nch" Type="http://schemas.openxmlformats.org/officeDocument/2006/relationships/hyperlink" Target="https://u.ae/en/about-the-uae/digital-uae/data/data-protection-laws" TargetMode="External"/><Relationship Id="rIduet4a8hjbm8n-w_vmzcro" Type="http://schemas.openxmlformats.org/officeDocument/2006/relationships/hyperlink" Target="https://www.qanu.ai/ar/%D9%86%D9%85%D8%A7%D8%B0%D8%AC/%D9%86%D9%85%D9%88%D8%B0%D8%AC-%D8%B9%D9%82%D8%AF-%D8%B9%D9%85%D9%84" TargetMode="External"/><Relationship Id="rIdfaxcllut5xv4vqylb5f-c" Type="http://schemas.openxmlformats.org/officeDocument/2006/relationships/hyperlink" Target="https://creativecommons.org/licenses/by/4.0/deed.ar" TargetMode="External"/><Relationship Id="rId56_gn8uwfwfvkgp0zme_e" Type="http://schemas.openxmlformats.org/officeDocument/2006/relationships/hyperlink" Target="https://dgp.sdaia.gov.sa/wps/portal/pdp/home" TargetMode="External"/><Relationship Id="rIdbbtixtl_cs0t2x15gypbb" Type="http://schemas.openxmlformats.org/officeDocument/2006/relationships/hyperlink" Target="https://u.ae/en/about-the-uae/digital-uae/data/data-protection-laws" TargetMode="External"/><Relationship Id="rIdxqglbdaw3-grx5tr-kbcn" Type="http://schemas.openxmlformats.org/officeDocument/2006/relationships/hyperlink" Target="https://www.hrsd.gov.sa/sites/default/files/2025-11/labor-law.pdf" TargetMode="External"/><Relationship Id="rIdrb_xvqwzegkmv2auwe3bc" Type="http://schemas.openxmlformats.org/officeDocument/2006/relationships/hyperlink" Target="https://u.ae/en/information-and-services/jobs/Sector-of-employment/employment-in-the-private-sector/employment-contracts-duration-and-models-in-the-private-sector" TargetMode="External"/><Relationship Id="rIdmgp97vdoy-ueeoedkxoek" Type="http://schemas.openxmlformats.org/officeDocument/2006/relationships/hyperlink" Target="https://www.saip.gov.sa/" TargetMode="External"/><Relationship Id="rIdzuzokl9d_fsfjooli4c2g" Type="http://schemas.openxmlformats.org/officeDocument/2006/relationships/hyperlink" Target="https://uaelegislation.gov.ae/en/legislations/4011" TargetMode="External"/><Relationship Id="rIdv6pdtvxxdqnbp4i4e4tjw" Type="http://schemas.openxmlformats.org/officeDocument/2006/relationships/hyperlink" Target="https://u.ae/en/information-and-services/justice-safety-and-the-law/Law/how-are-uae-laws-issued-and-how-to-find-them/where-to-find-uae-federal-laws"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اتفاقية عدم إفصاح (اتفاقية سرية)</dc:title>
  <dc:creator>Qanu</dc:creator>
  <cp:keywords>اتفاقية عدم إفصاح, السرية, حماية البيانات الشخصية</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2026-10-17T17:43:02.320Z</dcterms:created>
  <dcterms:modified xsi:type="dcterms:W3CDTF">2026-10-17T17:43:02.320Z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https://www.qanu.ai/ar/نماذج/نموذج-اتفاقية-عدم-إفصاح</vt:lpwstr>
  </property>
</Properties>
</file>