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هذا القرار لا يقيّد التعديل في السجل.</w:t>
      </w:r>
      <w:r>
        <w:rPr>
          <w:rtl/>
        </w:rPr>
        <w:t xml:space="preserve"> في السعودية للشركة ذات المسؤولية المحدودة جمعية عامة من جميع الشركاء، تجتمع مرة في السنة على الأقل خلال الأشهر الستة التالية لنهاية السنة المالية، والدعوة قبل واحد وعشرين يوماً، والمحاضر في سجل.</w:t>
      </w:r>
      <w:r>
        <w:rPr>
          <w:rtl/>
        </w:rPr>
        <w:t xml:space="preserve"> [1]</w:t>
      </w:r>
      <w:r>
        <w:rPr>
          <w:rtl/>
        </w:rPr>
        <w:t xml:space="preserve"> والقرار بالتمرير يجوز، ويحتاج شركاء يملكون أكثر من نصف رأس المال ما لم يشترط عقد التأسيس نسبة أعلى.</w:t>
      </w:r>
      <w:r>
        <w:rPr>
          <w:rtl/>
        </w:rPr>
        <w:t xml:space="preserve"> [1]</w:t>
      </w:r>
      <w:r>
        <w:rPr>
          <w:rtl/>
        </w:rPr>
        <w:t xml:space="preserve"> وقرارات مالك شركة الشخص الواحد مكتوبة ومقيّدة.</w:t>
      </w:r>
      <w:r>
        <w:rPr>
          <w:rtl/>
        </w:rPr>
        <w:t xml:space="preserve"> [1]</w:t>
      </w:r>
      <w:r>
        <w:rPr>
          <w:rtl/>
        </w:rPr>
        <w:t xml:space="preserve"> وعزل المدير تنظمه المادة الرابعة والستون بعد المائة، بلا شروط زائدة في هذا الملف.</w:t>
      </w:r>
      <w:r>
        <w:rPr>
          <w:rtl/>
        </w:rPr>
        <w:t xml:space="preserve"> [1]</w:t>
      </w:r>
      <w:r>
        <w:rPr>
          <w:rtl/>
        </w:rPr>
        <w:t xml:space="preserve"> ونصاب قرارات الشركة ذات المسؤولية المحدودة في الإمارات قيد المراجعة.</w:t>
      </w:r>
      <w:r>
        <w:rPr>
          <w:rtl/>
        </w:rPr>
        <w:t xml:space="preserve"> [2]</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الشركات: </w:t>
      </w:r>
      <w:hyperlink w:history="1" r:id="rId4lxfuz6s-jzghengm28fa">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الشركات التجارية الإماراتي: </w:t>
      </w:r>
      <w:hyperlink w:history="1" r:id="rId20xsc5zeqbtrcoe3qncnb">
        <w:r>
          <w:rPr>
            <w:rStyle w:val="Hyperlink"/>
            <w:sz w:val="17"/>
            <w:szCs w:val="17"/>
          </w:rPr>
          <w:t xml:space="preserve">‪https://u.ae/en/information-and-services/business/Doing-business/doing-business-on-the-mainland/full-foreign-ownership-of-commercial-companies‬</w:t>
        </w:r>
      </w:hyperlink>
    </w:p>
    <w:p>
      <w:pPr>
        <w:bidi/>
        <w:spacing w:after="240"/>
      </w:pPr>
    </w:p>
    <w:p>
      <w:pPr>
        <w:pStyle w:val="Title"/>
        <w:bidi/>
      </w:pPr>
      <w:r>
        <w:rPr>
          <w:rtl/>
        </w:rPr>
        <w:t xml:space="preserve">قرار الشركاء</w:t>
      </w:r>
    </w:p>
    <w:p>
      <w:pPr>
        <w:bidi/>
        <w:spacing w:after="240"/>
      </w:pPr>
      <w:r>
        <w:rPr>
          <w:color w:val="444444"/>
          <w:rtl/>
        </w:rPr>
        <w:t xml:space="preserve">قرار شركاء شركة ذات مسؤولية محدودة في دول الخليج: اجتماع الجمعية العامة أو تمرير مكتوب، وتعيين مدير أو عزله، وتعديل عقد التأسيس، وتوزيع الأرباح، وفتح فرع، ودخول شريك أو خروجه، والحل.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البند الذي لا ينطبق. التوقيع لا يغني عن الإيداع لدى جهة السجل. لا رسم ولا ميعاد في هذا النموذج. هذه نقطة انطلاق، وتُراجع من محامٍ مرخّص في الدولة المعنية قبل الاستعمال.</w:t>
      </w:r>
    </w:p>
    <w:p>
      <w:pPr>
        <w:pStyle w:val="Heading1"/>
        <w:bidi/>
      </w:pPr>
      <w:commentRangeStart w:id="0"/>
      <w:r>
        <w:rPr>
          <w:rtl/>
        </w:rPr>
        <w:t xml:space="preserve">البند (1): الشركة</w:t>
      </w:r>
      <w:commentRangeEnd w:id="0"/>
      <w:r>
        <w:rPr>
          <w:rtl/>
        </w:rPr>
        <w:commentReference w:id="0"/>
      </w:r>
    </w:p>
    <w:p>
      <w:pPr>
        <w:bidi/>
      </w:pPr>
      <w:r>
        <w:rPr>
          <w:rtl/>
        </w:rPr>
        <w:t xml:space="preserve">شركة </w:t>
      </w:r>
      <w:r>
        <w:rPr>
          <w:highlight w:val="yellow"/>
          <w:rtl/>
        </w:rPr>
        <w:t xml:space="preserve">[</w:t>
      </w:r>
      <w:r>
        <w:rPr>
          <w:highlight w:val="yellow"/>
          <w:rtl/>
        </w:rPr>
        <w:t xml:space="preserve">الاسم</w:t>
      </w:r>
      <w:r>
        <w:rPr>
          <w:highlight w:val="yellow"/>
          <w:rtl/>
        </w:rPr>
        <w:t xml:space="preserve">]</w:t>
      </w:r>
      <w:r>
        <w:rPr>
          <w:rtl/>
        </w:rPr>
        <w:t xml:space="preserve"> ذات المسؤولية المحدودة، سجل تجاري رقم </w:t>
      </w:r>
      <w:r>
        <w:rPr>
          <w:highlight w:val="yellow"/>
          <w:rtl/>
        </w:rPr>
        <w:t xml:space="preserve">[</w:t>
      </w:r>
      <w:r>
        <w:rPr>
          <w:highlight w:val="yellow"/>
          <w:rtl/>
        </w:rPr>
        <w:t xml:space="preserve">●</w:t>
      </w:r>
      <w:r>
        <w:rPr>
          <w:highlight w:val="yellow"/>
          <w:rtl/>
        </w:rPr>
        <w:t xml:space="preserve">]</w:t>
      </w:r>
      <w:r>
        <w:rPr>
          <w:rtl/>
        </w:rPr>
        <w:t xml:space="preserve">، رأس مالها </w:t>
      </w:r>
      <w:r>
        <w:rPr>
          <w:highlight w:val="yellow"/>
          <w:rtl/>
        </w:rPr>
        <w:t xml:space="preserve">[</w:t>
      </w:r>
      <w:r>
        <w:rPr>
          <w:highlight w:val="yellow"/>
          <w:rtl/>
        </w:rPr>
        <w:t xml:space="preserve">●</w:t>
      </w:r>
      <w:r>
        <w:rPr>
          <w:highlight w:val="yellow"/>
          <w:rtl/>
        </w:rPr>
        <w:t xml:space="preserve">]</w:t>
      </w:r>
      <w:r>
        <w:rPr>
          <w:rtl/>
        </w:rPr>
        <w:t xml:space="preserve"> </w:t>
      </w:r>
      <w:r>
        <w:rPr>
          <w:highlight w:val="yellow"/>
          <w:rtl/>
        </w:rPr>
        <w:t xml:space="preserve">[</w:t>
      </w:r>
      <w:r>
        <w:rPr>
          <w:highlight w:val="yellow"/>
          <w:rtl/>
        </w:rPr>
        <w:t xml:space="preserve">العملة</w:t>
      </w:r>
      <w:r>
        <w:rPr>
          <w:highlight w:val="yellow"/>
          <w:rtl/>
        </w:rPr>
        <w:t xml:space="preserve">]</w:t>
      </w:r>
      <w:r>
        <w:rPr>
          <w:rtl/>
        </w:rPr>
        <w:t xml:space="preserve">، مركزها </w:t>
      </w:r>
      <w:r>
        <w:rPr>
          <w:highlight w:val="yellow"/>
          <w:rtl/>
        </w:rPr>
        <w:t xml:space="preserve">[</w:t>
      </w:r>
      <w:r>
        <w:rPr>
          <w:highlight w:val="yellow"/>
          <w:rtl/>
        </w:rPr>
        <w:t xml:space="preserve">●</w:t>
      </w:r>
      <w:r>
        <w:rPr>
          <w:highlight w:val="yellow"/>
          <w:rtl/>
        </w:rPr>
        <w:t xml:space="preserve">]</w:t>
      </w:r>
      <w:r>
        <w:rPr>
          <w:rtl/>
        </w:rPr>
        <w:t xml:space="preserve">، وتنتهي سنتها المالية في </w:t>
      </w:r>
      <w:r>
        <w:rPr>
          <w:highlight w:val="yellow"/>
          <w:rtl/>
        </w:rPr>
        <w:t xml:space="preserve">[</w:t>
      </w:r>
      <w:r>
        <w:rPr>
          <w:highlight w:val="yellow"/>
          <w:rtl/>
        </w:rPr>
        <w:t xml:space="preserve">التاريخ</w:t>
      </w:r>
      <w:r>
        <w:rPr>
          <w:highlight w:val="yellow"/>
          <w:rtl/>
        </w:rPr>
        <w:t xml:space="preserve">]</w:t>
      </w:r>
      <w:r>
        <w:rPr>
          <w:rtl/>
        </w:rPr>
        <w:t xml:space="preserve"> («الشركة»).</w:t>
      </w:r>
    </w:p>
    <w:p>
      <w:pPr>
        <w:pStyle w:val="Heading1"/>
        <w:bidi/>
      </w:pPr>
      <w:commentRangeStart w:id="1"/>
      <w:r>
        <w:rPr>
          <w:rtl/>
        </w:rPr>
        <w:t xml:space="preserve">البند (2): اجتماع أو تمرير</w:t>
      </w:r>
      <w:commentRangeEnd w:id="1"/>
      <w:r>
        <w:rPr>
          <w:rtl/>
        </w:rPr>
        <w:commentReference w:id="1"/>
      </w:r>
    </w:p>
    <w:p>
      <w:pPr>
        <w:bidi/>
        <w:ind w:start="360" w:hanging="0"/>
      </w:pPr>
      <w:r>
        <w:rPr>
          <w:rtl/>
        </w:rPr>
        <w:t xml:space="preserve">(1) اجتماع. احذفوا هذه الفقرة إن كان القرار بالتمرير. اجتمعت الجمعية العامة في </w:t>
      </w:r>
      <w:r>
        <w:rPr>
          <w:highlight w:val="yellow"/>
          <w:rtl/>
        </w:rPr>
        <w:t xml:space="preserve">[</w:t>
      </w:r>
      <w:r>
        <w:rPr>
          <w:highlight w:val="yellow"/>
          <w:rtl/>
        </w:rPr>
        <w:t xml:space="preserve">المكان أو وسيلة الاتصال</w:t>
      </w:r>
      <w:r>
        <w:rPr>
          <w:highlight w:val="yellow"/>
          <w:rtl/>
        </w:rPr>
        <w:t xml:space="preserve">]</w:t>
      </w:r>
      <w:r>
        <w:rPr>
          <w:rtl/>
        </w:rPr>
        <w:t xml:space="preserve"> بتاريخ </w:t>
      </w:r>
      <w:r>
        <w:rPr>
          <w:highlight w:val="yellow"/>
          <w:rtl/>
        </w:rPr>
        <w:t xml:space="preserve">[</w:t>
      </w:r>
      <w:r>
        <w:rPr>
          <w:highlight w:val="yellow"/>
          <w:rtl/>
        </w:rPr>
        <w:t xml:space="preserve">●</w:t>
      </w:r>
      <w:r>
        <w:rPr>
          <w:highlight w:val="yellow"/>
          <w:rtl/>
        </w:rPr>
        <w:t xml:space="preserve">]</w:t>
      </w:r>
      <w:r>
        <w:rPr>
          <w:rtl/>
        </w:rPr>
        <w:t xml:space="preserve">، بدعوة مؤرخة </w:t>
      </w:r>
      <w:r>
        <w:rPr>
          <w:highlight w:val="yellow"/>
          <w:rtl/>
        </w:rPr>
        <w:t xml:space="preserve">[</w:t>
      </w:r>
      <w:r>
        <w:rPr>
          <w:highlight w:val="yellow"/>
          <w:rtl/>
        </w:rPr>
        <w:t xml:space="preserve">●</w:t>
      </w:r>
      <w:r>
        <w:rPr>
          <w:highlight w:val="yellow"/>
          <w:rtl/>
        </w:rPr>
        <w:t xml:space="preserve">]</w:t>
      </w:r>
      <w:r>
        <w:rPr>
          <w:rtl/>
        </w:rPr>
        <w:t xml:space="preserve">. وحضر من في الملحق.</w:t>
      </w:r>
    </w:p>
    <w:p>
      <w:pPr>
        <w:bidi/>
        <w:ind w:start="360" w:hanging="0"/>
      </w:pPr>
      <w:r>
        <w:rPr>
          <w:rtl/>
        </w:rPr>
        <w:t xml:space="preserve">(2) تمرير. احذفوا هذه الفقرة إن انعقد اجتماع. يُتخذ هذا القرار كتابةً من غير اجتماع، ويوقّعه الشركاء المبينة حصصهم في الملحق.</w:t>
      </w:r>
    </w:p>
    <w:p>
      <w:pPr>
        <w:pStyle w:val="Heading1"/>
        <w:bidi/>
      </w:pPr>
      <w:commentRangeStart w:id="2"/>
      <w:r>
        <w:rPr>
          <w:rtl/>
        </w:rPr>
        <w:t xml:space="preserve">البند (3): النصاب والأغلبية</w:t>
      </w:r>
      <w:commentRangeEnd w:id="2"/>
      <w:r>
        <w:rPr>
          <w:rtl/>
        </w:rPr>
        <w:commentReference w:id="2"/>
      </w:r>
    </w:p>
    <w:p>
      <w:pPr>
        <w:bidi/>
      </w:pPr>
      <w:r>
        <w:rPr>
          <w:rtl/>
        </w:rPr>
        <w:t xml:space="preserve">نصاب الاجتماع الحضوري كما في عقد التأسيس: </w:t>
      </w:r>
      <w:r>
        <w:rPr>
          <w:highlight w:val="yellow"/>
          <w:rtl/>
        </w:rPr>
        <w:t xml:space="preserve">[</w:t>
      </w:r>
      <w:r>
        <w:rPr>
          <w:highlight w:val="yellow"/>
          <w:rtl/>
        </w:rPr>
        <w:t xml:space="preserve">●</w:t>
      </w:r>
      <w:r>
        <w:rPr>
          <w:highlight w:val="yellow"/>
          <w:rtl/>
        </w:rPr>
        <w:t xml:space="preserve">]</w:t>
      </w:r>
      <w:r>
        <w:rPr>
          <w:rtl/>
        </w:rPr>
        <w:t xml:space="preserve">. ولا تذكر هذه الصفحة كسراً لم يُراجع. وللتمرير في السعودية تكفي حصص تملك أكثر من نصف رأس المال، ما لم يشترط العقد نسبة أعلى، وهي هنا: </w:t>
      </w:r>
      <w:r>
        <w:rPr>
          <w:highlight w:val="yellow"/>
          <w:rtl/>
        </w:rPr>
        <w:t xml:space="preserve">[</w:t>
      </w:r>
      <w:r>
        <w:rPr>
          <w:highlight w:val="yellow"/>
          <w:rtl/>
        </w:rPr>
        <w:t xml:space="preserve">النسبة في العقد، أو «لم تُرفع»</w:t>
      </w:r>
      <w:r>
        <w:rPr>
          <w:highlight w:val="yellow"/>
          <w:rtl/>
        </w:rPr>
        <w:t xml:space="preserve">]</w:t>
      </w:r>
      <w:r>
        <w:rPr>
          <w:rtl/>
        </w:rPr>
        <w:t xml:space="preserve">.</w:t>
      </w:r>
    </w:p>
    <w:p>
      <w:pPr>
        <w:pStyle w:val="Heading1"/>
        <w:bidi/>
      </w:pPr>
      <w:commentRangeStart w:id="3"/>
      <w:r>
        <w:rPr>
          <w:rtl/>
        </w:rPr>
        <w:t xml:space="preserve">البند (4): تعيين مدير أو عزله</w:t>
      </w:r>
      <w:commentRangeEnd w:id="3"/>
      <w:r>
        <w:rPr>
          <w:rtl/>
        </w:rPr>
        <w:commentReference w:id="3"/>
      </w:r>
    </w:p>
    <w:p>
      <w:pPr>
        <w:bidi/>
        <w:ind w:start="360" w:hanging="0"/>
      </w:pPr>
      <w:r>
        <w:rPr>
          <w:rtl/>
        </w:rPr>
        <w:t xml:space="preserve">(1) تعيين. احذفوا إن لم يُعيَّن مدير. يُعيَّن </w:t>
      </w:r>
      <w:r>
        <w:rPr>
          <w:highlight w:val="yellow"/>
          <w:rtl/>
        </w:rPr>
        <w:t xml:space="preserve">[</w:t>
      </w:r>
      <w:r>
        <w:rPr>
          <w:highlight w:val="yellow"/>
          <w:rtl/>
        </w:rPr>
        <w:t xml:space="preserve">الاسم</w:t>
      </w:r>
      <w:r>
        <w:rPr>
          <w:highlight w:val="yellow"/>
          <w:rtl/>
        </w:rPr>
        <w:t xml:space="preserve">]</w:t>
      </w:r>
      <w:r>
        <w:rPr>
          <w:rtl/>
        </w:rPr>
        <w:t xml:space="preserve">، هوية رقم </w:t>
      </w:r>
      <w:r>
        <w:rPr>
          <w:highlight w:val="yellow"/>
          <w:rtl/>
        </w:rPr>
        <w:t xml:space="preserve">[</w:t>
      </w:r>
      <w:r>
        <w:rPr>
          <w:highlight w:val="yellow"/>
          <w:rtl/>
        </w:rPr>
        <w:t xml:space="preserve">●</w:t>
      </w:r>
      <w:r>
        <w:rPr>
          <w:highlight w:val="yellow"/>
          <w:rtl/>
        </w:rPr>
        <w:t xml:space="preserve">]</w:t>
      </w:r>
      <w:r>
        <w:rPr>
          <w:rtl/>
        </w:rPr>
        <w:t xml:space="preserve">، مديراً من </w:t>
      </w:r>
      <w:r>
        <w:rPr>
          <w:highlight w:val="yellow"/>
          <w:rtl/>
        </w:rPr>
        <w:t xml:space="preserve">[</w:t>
      </w:r>
      <w:r>
        <w:rPr>
          <w:highlight w:val="yellow"/>
          <w:rtl/>
        </w:rPr>
        <w:t xml:space="preserve">التاريخ</w:t>
      </w:r>
      <w:r>
        <w:rPr>
          <w:highlight w:val="yellow"/>
          <w:rtl/>
        </w:rPr>
        <w:t xml:space="preserve">]</w:t>
      </w:r>
      <w:r>
        <w:rPr>
          <w:rtl/>
        </w:rPr>
        <w:t xml:space="preserve">، بالصلاحيات </w:t>
      </w:r>
      <w:r>
        <w:rPr>
          <w:highlight w:val="yellow"/>
          <w:rtl/>
        </w:rPr>
        <w:t xml:space="preserve">[</w:t>
      </w:r>
      <w:r>
        <w:rPr>
          <w:highlight w:val="yellow"/>
          <w:rtl/>
        </w:rPr>
        <w:t xml:space="preserve">●</w:t>
      </w:r>
      <w:r>
        <w:rPr>
          <w:highlight w:val="yellow"/>
          <w:rtl/>
        </w:rPr>
        <w:t xml:space="preserve">]</w:t>
      </w:r>
      <w:r>
        <w:rPr>
          <w:rtl/>
        </w:rPr>
        <w:t xml:space="preserve">، وللمدة </w:t>
      </w:r>
      <w:r>
        <w:rPr>
          <w:highlight w:val="yellow"/>
          <w:rtl/>
        </w:rPr>
        <w:t xml:space="preserve">[</w:t>
      </w:r>
      <w:r>
        <w:rPr>
          <w:highlight w:val="yellow"/>
          <w:rtl/>
        </w:rPr>
        <w:t xml:space="preserve">●</w:t>
      </w:r>
      <w:r>
        <w:rPr>
          <w:highlight w:val="yellow"/>
          <w:rtl/>
        </w:rPr>
        <w:t xml:space="preserve">]</w:t>
      </w:r>
      <w:r>
        <w:rPr>
          <w:rtl/>
        </w:rPr>
        <w:t xml:space="preserve">.</w:t>
      </w:r>
    </w:p>
    <w:p>
      <w:pPr>
        <w:bidi/>
        <w:ind w:start="360" w:hanging="0"/>
      </w:pPr>
      <w:r>
        <w:rPr>
          <w:rtl/>
        </w:rPr>
        <w:t xml:space="preserve">(2) عزل. احذفوا إن لم يُعزل مدير. يُعزل </w:t>
      </w:r>
      <w:r>
        <w:rPr>
          <w:highlight w:val="yellow"/>
          <w:rtl/>
        </w:rPr>
        <w:t xml:space="preserve">[</w:t>
      </w:r>
      <w:r>
        <w:rPr>
          <w:highlight w:val="yellow"/>
          <w:rtl/>
        </w:rPr>
        <w:t xml:space="preserve">الاسم</w:t>
      </w:r>
      <w:r>
        <w:rPr>
          <w:highlight w:val="yellow"/>
          <w:rtl/>
        </w:rPr>
        <w:t xml:space="preserve">]</w:t>
      </w:r>
      <w:r>
        <w:rPr>
          <w:rtl/>
        </w:rPr>
        <w:t xml:space="preserve"> من الإدارة من </w:t>
      </w:r>
      <w:r>
        <w:rPr>
          <w:highlight w:val="yellow"/>
          <w:rtl/>
        </w:rPr>
        <w:t xml:space="preserve">[</w:t>
      </w:r>
      <w:r>
        <w:rPr>
          <w:highlight w:val="yellow"/>
          <w:rtl/>
        </w:rPr>
        <w:t xml:space="preserve">التاريخ</w:t>
      </w:r>
      <w:r>
        <w:rPr>
          <w:highlight w:val="yellow"/>
          <w:rtl/>
        </w:rPr>
        <w:t xml:space="preserve">]</w:t>
      </w:r>
      <w:r>
        <w:rPr>
          <w:rtl/>
        </w:rPr>
        <w:t xml:space="preserve">. وعزل المدير في السعودية تنظمه المادة الرابعة والستون بعد المائة.</w:t>
      </w:r>
    </w:p>
    <w:p>
      <w:pPr>
        <w:pStyle w:val="Heading1"/>
        <w:bidi/>
      </w:pPr>
      <w:commentRangeStart w:id="4"/>
      <w:r>
        <w:rPr>
          <w:rtl/>
        </w:rPr>
        <w:t xml:space="preserve">البند (5): تعديل عقد التأسيس</w:t>
      </w:r>
      <w:commentRangeEnd w:id="4"/>
      <w:r>
        <w:rPr>
          <w:rtl/>
        </w:rPr>
        <w:commentReference w:id="4"/>
      </w:r>
    </w:p>
    <w:p>
      <w:pPr>
        <w:bidi/>
      </w:pPr>
      <w:r>
        <w:rPr>
          <w:rtl/>
        </w:rPr>
        <w:t xml:space="preserve">احذفوا هذا البند إن لم يُعدَّل العقد. يُعدَّل </w:t>
      </w:r>
      <w:r>
        <w:rPr>
          <w:highlight w:val="yellow"/>
          <w:rtl/>
        </w:rPr>
        <w:t xml:space="preserve">[</w:t>
      </w:r>
      <w:r>
        <w:rPr>
          <w:highlight w:val="yellow"/>
          <w:rtl/>
        </w:rPr>
        <w:t xml:space="preserve">رقم البند</w:t>
      </w:r>
      <w:r>
        <w:rPr>
          <w:highlight w:val="yellow"/>
          <w:rtl/>
        </w:rPr>
        <w:t xml:space="preserve">]</w:t>
      </w:r>
      <w:r>
        <w:rPr>
          <w:rtl/>
        </w:rPr>
        <w:t xml:space="preserve"> من عقد التأسيس ليصبح: </w:t>
      </w:r>
      <w:r>
        <w:rPr>
          <w:highlight w:val="yellow"/>
          <w:rtl/>
        </w:rPr>
        <w:t xml:space="preserve">[</w:t>
      </w:r>
      <w:r>
        <w:rPr>
          <w:highlight w:val="yellow"/>
          <w:rtl/>
        </w:rPr>
        <w:t xml:space="preserve">النص الجديد</w:t>
      </w:r>
      <w:r>
        <w:rPr>
          <w:highlight w:val="yellow"/>
          <w:rtl/>
        </w:rPr>
        <w:t xml:space="preserve">]</w:t>
      </w:r>
      <w:r>
        <w:rPr>
          <w:rtl/>
        </w:rPr>
        <w:t xml:space="preserve">. والإيداع لدى جهة السجل خطوة لاحقة. ولا ميعاد في هذا النموذج.</w:t>
      </w:r>
    </w:p>
    <w:p>
      <w:pPr>
        <w:pStyle w:val="Heading1"/>
        <w:bidi/>
      </w:pPr>
      <w:commentRangeStart w:id="5"/>
      <w:r>
        <w:rPr>
          <w:rtl/>
        </w:rPr>
        <w:t xml:space="preserve">البند (6): توزيع الأرباح</w:t>
      </w:r>
      <w:commentRangeEnd w:id="5"/>
      <w:r>
        <w:rPr>
          <w:rtl/>
        </w:rPr>
        <w:commentReference w:id="5"/>
      </w:r>
    </w:p>
    <w:p>
      <w:pPr>
        <w:bidi/>
      </w:pPr>
      <w:r>
        <w:rPr>
          <w:rtl/>
        </w:rPr>
        <w:t xml:space="preserve">احذفوا هذا البند إن لم تُوزَّع أرباح. تُوزَّع أرباح السنة </w:t>
      </w:r>
      <w:r>
        <w:rPr>
          <w:highlight w:val="yellow"/>
          <w:rtl/>
        </w:rPr>
        <w:t xml:space="preserve">[</w:t>
      </w:r>
      <w:r>
        <w:rPr>
          <w:highlight w:val="yellow"/>
          <w:rtl/>
        </w:rPr>
        <w:t xml:space="preserve">●</w:t>
      </w:r>
      <w:r>
        <w:rPr>
          <w:highlight w:val="yellow"/>
          <w:rtl/>
        </w:rPr>
        <w:t xml:space="preserve">]</w:t>
      </w:r>
      <w:r>
        <w:rPr>
          <w:rtl/>
        </w:rPr>
        <w:t xml:space="preserve"> بمبلغ </w:t>
      </w:r>
      <w:r>
        <w:rPr>
          <w:highlight w:val="yellow"/>
          <w:rtl/>
        </w:rPr>
        <w:t xml:space="preserve">[</w:t>
      </w:r>
      <w:r>
        <w:rPr>
          <w:highlight w:val="yellow"/>
          <w:rtl/>
        </w:rPr>
        <w:t xml:space="preserve">●</w:t>
      </w:r>
      <w:r>
        <w:rPr>
          <w:highlight w:val="yellow"/>
          <w:rtl/>
        </w:rPr>
        <w:t xml:space="preserve">]</w:t>
      </w:r>
      <w:r>
        <w:rPr>
          <w:rtl/>
        </w:rPr>
        <w:t xml:space="preserve"> </w:t>
      </w:r>
      <w:r>
        <w:rPr>
          <w:highlight w:val="yellow"/>
          <w:rtl/>
        </w:rPr>
        <w:t xml:space="preserve">[</w:t>
      </w:r>
      <w:r>
        <w:rPr>
          <w:highlight w:val="yellow"/>
          <w:rtl/>
        </w:rPr>
        <w:t xml:space="preserve">العملة</w:t>
      </w:r>
      <w:r>
        <w:rPr>
          <w:highlight w:val="yellow"/>
          <w:rtl/>
        </w:rPr>
        <w:t xml:space="preserve">]</w:t>
      </w:r>
      <w:r>
        <w:rPr>
          <w:rtl/>
        </w:rPr>
        <w:t xml:space="preserve">، بنسبة الحصص، وتُستحق في </w:t>
      </w:r>
      <w:r>
        <w:rPr>
          <w:highlight w:val="yellow"/>
          <w:rtl/>
        </w:rPr>
        <w:t xml:space="preserve">[</w:t>
      </w:r>
      <w:r>
        <w:rPr>
          <w:highlight w:val="yellow"/>
          <w:rtl/>
        </w:rPr>
        <w:t xml:space="preserve">التاريخ</w:t>
      </w:r>
      <w:r>
        <w:rPr>
          <w:highlight w:val="yellow"/>
          <w:rtl/>
        </w:rPr>
        <w:t xml:space="preserve">]</w:t>
      </w:r>
      <w:r>
        <w:rPr>
          <w:rtl/>
        </w:rPr>
        <w:t xml:space="preserve">، وتُدفع في </w:t>
      </w:r>
      <w:r>
        <w:rPr>
          <w:highlight w:val="yellow"/>
          <w:rtl/>
        </w:rPr>
        <w:t xml:space="preserve">[</w:t>
      </w:r>
      <w:r>
        <w:rPr>
          <w:highlight w:val="yellow"/>
          <w:rtl/>
        </w:rPr>
        <w:t xml:space="preserve">الحساب أو الطريقة</w:t>
      </w:r>
      <w:r>
        <w:rPr>
          <w:highlight w:val="yellow"/>
          <w:rtl/>
        </w:rPr>
        <w:t xml:space="preserve">]</w:t>
      </w:r>
      <w:r>
        <w:rPr>
          <w:rtl/>
        </w:rPr>
        <w:t xml:space="preserve">. ولا نسبة نظامية للتوزيع في هذه الصفحة.</w:t>
      </w:r>
    </w:p>
    <w:p>
      <w:pPr>
        <w:pStyle w:val="Heading1"/>
        <w:bidi/>
      </w:pPr>
      <w:commentRangeStart w:id="6"/>
      <w:r>
        <w:rPr>
          <w:rtl/>
        </w:rPr>
        <w:t xml:space="preserve">البند (7): فتح فرع</w:t>
      </w:r>
      <w:commentRangeEnd w:id="6"/>
      <w:r>
        <w:rPr>
          <w:rtl/>
        </w:rPr>
        <w:commentReference w:id="6"/>
      </w:r>
    </w:p>
    <w:p>
      <w:pPr>
        <w:bidi/>
      </w:pPr>
      <w:r>
        <w:rPr>
          <w:rtl/>
        </w:rPr>
        <w:t xml:space="preserve">احذفوا هذا البند إن لم يُفتح فرع. يُفتح فرع في </w:t>
      </w:r>
      <w:r>
        <w:rPr>
          <w:highlight w:val="yellow"/>
          <w:rtl/>
        </w:rPr>
        <w:t xml:space="preserve">[</w:t>
      </w:r>
      <w:r>
        <w:rPr>
          <w:highlight w:val="yellow"/>
          <w:rtl/>
        </w:rPr>
        <w:t xml:space="preserve">المدينة</w:t>
      </w:r>
      <w:r>
        <w:rPr>
          <w:highlight w:val="yellow"/>
          <w:rtl/>
        </w:rPr>
        <w:t xml:space="preserve">]</w:t>
      </w:r>
      <w:r>
        <w:rPr>
          <w:rtl/>
        </w:rPr>
        <w:t xml:space="preserve"> لممارسة </w:t>
      </w:r>
      <w:r>
        <w:rPr>
          <w:highlight w:val="yellow"/>
          <w:rtl/>
        </w:rPr>
        <w:t xml:space="preserve">[</w:t>
      </w:r>
      <w:r>
        <w:rPr>
          <w:highlight w:val="yellow"/>
          <w:rtl/>
        </w:rPr>
        <w:t xml:space="preserve">النشاط</w:t>
      </w:r>
      <w:r>
        <w:rPr>
          <w:highlight w:val="yellow"/>
          <w:rtl/>
        </w:rPr>
        <w:t xml:space="preserve">]</w:t>
      </w:r>
      <w:r>
        <w:rPr>
          <w:rtl/>
        </w:rPr>
        <w:t xml:space="preserve">، ويُقيَّد لدى جهة السجل. ولا رسم في هذا النموذج.</w:t>
      </w:r>
    </w:p>
    <w:p>
      <w:pPr>
        <w:pStyle w:val="Heading1"/>
        <w:bidi/>
      </w:pPr>
      <w:commentRangeStart w:id="7"/>
      <w:r>
        <w:rPr>
          <w:rtl/>
        </w:rPr>
        <w:t xml:space="preserve">البند (8): دخول شريك أو خروجه</w:t>
      </w:r>
      <w:commentRangeEnd w:id="7"/>
      <w:r>
        <w:rPr>
          <w:rtl/>
        </w:rPr>
        <w:commentReference w:id="7"/>
      </w:r>
    </w:p>
    <w:p>
      <w:pPr>
        <w:bidi/>
      </w:pPr>
      <w:r>
        <w:rPr>
          <w:rtl/>
        </w:rPr>
        <w:t xml:space="preserve">احذفوا هذا البند إن لم يتغير الشركاء. يدخل الشريك </w:t>
      </w:r>
      <w:r>
        <w:rPr>
          <w:highlight w:val="yellow"/>
          <w:rtl/>
        </w:rPr>
        <w:t xml:space="preserve">[</w:t>
      </w:r>
      <w:r>
        <w:rPr>
          <w:highlight w:val="yellow"/>
          <w:rtl/>
        </w:rPr>
        <w:t xml:space="preserve">الاسم</w:t>
      </w:r>
      <w:r>
        <w:rPr>
          <w:highlight w:val="yellow"/>
          <w:rtl/>
        </w:rPr>
        <w:t xml:space="preserve">]</w:t>
      </w:r>
      <w:r>
        <w:rPr>
          <w:rtl/>
        </w:rPr>
        <w:t xml:space="preserve"> بحصص </w:t>
      </w:r>
      <w:r>
        <w:rPr>
          <w:highlight w:val="yellow"/>
          <w:rtl/>
        </w:rPr>
        <w:t xml:space="preserve">[</w:t>
      </w:r>
      <w:r>
        <w:rPr>
          <w:highlight w:val="yellow"/>
          <w:rtl/>
        </w:rPr>
        <w:t xml:space="preserve">●</w:t>
      </w:r>
      <w:r>
        <w:rPr>
          <w:highlight w:val="yellow"/>
          <w:rtl/>
        </w:rPr>
        <w:t xml:space="preserve">]</w:t>
      </w:r>
      <w:r>
        <w:rPr>
          <w:rtl/>
        </w:rPr>
        <w:t xml:space="preserve">، أو يخرج الشريك </w:t>
      </w:r>
      <w:r>
        <w:rPr>
          <w:highlight w:val="yellow"/>
          <w:rtl/>
        </w:rPr>
        <w:t xml:space="preserve">[</w:t>
      </w:r>
      <w:r>
        <w:rPr>
          <w:highlight w:val="yellow"/>
          <w:rtl/>
        </w:rPr>
        <w:t xml:space="preserve">الاسم</w:t>
      </w:r>
      <w:r>
        <w:rPr>
          <w:highlight w:val="yellow"/>
          <w:rtl/>
        </w:rPr>
        <w:t xml:space="preserve">]</w:t>
      </w:r>
      <w:r>
        <w:rPr>
          <w:rtl/>
        </w:rPr>
        <w:t xml:space="preserve"> وتنتقل حصصه إلى </w:t>
      </w:r>
      <w:r>
        <w:rPr>
          <w:highlight w:val="yellow"/>
          <w:rtl/>
        </w:rPr>
        <w:t xml:space="preserve">[</w:t>
      </w:r>
      <w:r>
        <w:rPr>
          <w:highlight w:val="yellow"/>
          <w:rtl/>
        </w:rPr>
        <w:t xml:space="preserve">●</w:t>
      </w:r>
      <w:r>
        <w:rPr>
          <w:highlight w:val="yellow"/>
          <w:rtl/>
        </w:rPr>
        <w:t xml:space="preserve">]</w:t>
      </w:r>
      <w:r>
        <w:rPr>
          <w:rtl/>
        </w:rPr>
        <w:t xml:space="preserve">. وعقد التنازل عن الحصص مستند مستقل، وليس في هذا الملف.</w:t>
      </w:r>
    </w:p>
    <w:p>
      <w:pPr>
        <w:pStyle w:val="Heading1"/>
        <w:bidi/>
      </w:pPr>
      <w:commentRangeStart w:id="8"/>
      <w:r>
        <w:rPr>
          <w:rtl/>
        </w:rPr>
        <w:t xml:space="preserve">البند (9): الحل والمصفّي</w:t>
      </w:r>
      <w:commentRangeEnd w:id="8"/>
      <w:r>
        <w:rPr>
          <w:rtl/>
        </w:rPr>
        <w:commentReference w:id="8"/>
      </w:r>
    </w:p>
    <w:p>
      <w:pPr>
        <w:bidi/>
      </w:pPr>
      <w:r>
        <w:rPr>
          <w:rtl/>
        </w:rPr>
        <w:t xml:space="preserve">احذفوا هذا البند إن لم تُحل الشركة. تُحل الشركة من </w:t>
      </w:r>
      <w:r>
        <w:rPr>
          <w:highlight w:val="yellow"/>
          <w:rtl/>
        </w:rPr>
        <w:t xml:space="preserve">[</w:t>
      </w:r>
      <w:r>
        <w:rPr>
          <w:highlight w:val="yellow"/>
          <w:rtl/>
        </w:rPr>
        <w:t xml:space="preserve">التاريخ</w:t>
      </w:r>
      <w:r>
        <w:rPr>
          <w:highlight w:val="yellow"/>
          <w:rtl/>
        </w:rPr>
        <w:t xml:space="preserve">]</w:t>
      </w:r>
      <w:r>
        <w:rPr>
          <w:rtl/>
        </w:rPr>
        <w:t xml:space="preserve">، ويُعيَّن </w:t>
      </w:r>
      <w:r>
        <w:rPr>
          <w:highlight w:val="yellow"/>
          <w:rtl/>
        </w:rPr>
        <w:t xml:space="preserve">[</w:t>
      </w:r>
      <w:r>
        <w:rPr>
          <w:highlight w:val="yellow"/>
          <w:rtl/>
        </w:rPr>
        <w:t xml:space="preserve">الاسم</w:t>
      </w:r>
      <w:r>
        <w:rPr>
          <w:highlight w:val="yellow"/>
          <w:rtl/>
        </w:rPr>
        <w:t xml:space="preserve">]</w:t>
      </w:r>
      <w:r>
        <w:rPr>
          <w:rtl/>
        </w:rPr>
        <w:t xml:space="preserve"> مصفّياً، وصلاحياته </w:t>
      </w:r>
      <w:r>
        <w:rPr>
          <w:highlight w:val="yellow"/>
          <w:rtl/>
        </w:rPr>
        <w:t xml:space="preserve">[</w:t>
      </w:r>
      <w:r>
        <w:rPr>
          <w:highlight w:val="yellow"/>
          <w:rtl/>
        </w:rPr>
        <w:t xml:space="preserve">●</w:t>
      </w:r>
      <w:r>
        <w:rPr>
          <w:highlight w:val="yellow"/>
          <w:rtl/>
        </w:rPr>
        <w:t xml:space="preserve">]</w:t>
      </w:r>
      <w:r>
        <w:rPr>
          <w:rtl/>
        </w:rPr>
        <w:t xml:space="preserve">. ولا ميعاد للتصفية في هذا النموذج.</w:t>
      </w:r>
    </w:p>
    <w:p>
      <w:pPr>
        <w:pStyle w:val="Heading1"/>
        <w:bidi/>
      </w:pPr>
      <w:commentRangeStart w:id="9"/>
      <w:r>
        <w:rPr>
          <w:rtl/>
        </w:rPr>
        <w:t xml:space="preserve">البند (10): التوقيع والإيداع</w:t>
      </w:r>
      <w:commentRangeEnd w:id="9"/>
      <w:r>
        <w:rPr>
          <w:rtl/>
        </w:rPr>
        <w:commentReference w:id="9"/>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المكان والتاريخ:</w:t>
      </w:r>
      <w:r>
        <w:rPr>
          <w:rtl/>
        </w:rPr>
        <w:t xml:space="preserve">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الشركاء:</w:t>
      </w:r>
      <w:r>
        <w:rPr>
          <w:rtl/>
        </w:rPr>
        <w:t xml:space="preserve"> الاسم والحصة والتوقيع في الملحق.</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الختم:</w:t>
      </w:r>
      <w:r>
        <w:rPr>
          <w:rtl/>
        </w:rPr>
        <w:t xml:space="preserve"> </w:t>
      </w:r>
      <w:r>
        <w:rPr>
          <w:highlight w:val="yellow"/>
          <w:rtl/>
        </w:rPr>
        <w:t xml:space="preserve">[</w:t>
      </w:r>
      <w:r>
        <w:rPr>
          <w:highlight w:val="yellow"/>
          <w:rtl/>
        </w:rPr>
        <w:t xml:space="preserve">إن وُجد</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الإيداع:</w:t>
      </w:r>
      <w:r>
        <w:rPr>
          <w:rtl/>
        </w:rPr>
        <w:t xml:space="preserve"> يُودع ما يُشهر لدى جهة السجل. ولا رسم ولا ميعاد في هذا النموذج.</w:t>
      </w:r>
    </w:p>
    <w:p>
      <w:pPr>
        <w:pStyle w:val="Heading1"/>
        <w:pageBreakBefore/>
        <w:bidi/>
      </w:pPr>
      <w:r>
        <w:rPr>
          <w:rtl/>
        </w:rPr>
        <w:t xml:space="preserve">ملاحظات عن المملكة العربية السعودية</w:t>
      </w:r>
    </w:p>
    <w:p>
      <w:pPr>
        <w:bidi/>
      </w:pPr>
      <w:r>
        <w:rPr>
          <w:rtl/>
        </w:rPr>
        <w:t xml:space="preserve">نظام الشركات الصادر بالمرسوم الملكي رقم (م/132) وتاريخ 1/12/1443هـ. وما يلي هو ما رُوجع لهذه الصفحة.</w:t>
      </w:r>
      <w:r>
        <w:rPr>
          <w:rtl/>
        </w:rPr>
        <w:t xml:space="preserve"> [1]</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الجمعية العامة</w:t>
            </w:r>
          </w:p>
        </w:tc>
        <w:tc>
          <w:tcPr>
            <w:tcMar>
              <w:top w:type="dxa" w:w="80"/>
              <w:left w:type="dxa" w:w="100"/>
              <w:bottom w:type="dxa" w:w="80"/>
              <w:right w:type="dxa" w:w="100"/>
            </w:tcMar>
          </w:tcPr>
          <w:p>
            <w:pPr>
              <w:bidi/>
              <w:spacing w:after="0"/>
            </w:pPr>
            <w:r>
              <w:rPr>
                <w:b w:val="false"/>
                <w:sz w:val="18"/>
                <w:szCs w:val="18"/>
                <w:rtl/>
              </w:rPr>
              <w:t xml:space="preserve">للشركة ذات المسؤولية المحدودة جمعية عامة من جميع الشركاء، تجتمع مرة في السنة على الأقل خلال الأشهر الستة التالية لنهاية السنة المالية، والدعوة قبل واحد وعشرين يوماً، والمحاضر في سجل (المادة الخامسة والستون بعد المائة).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التمرير</w:t>
            </w:r>
          </w:p>
        </w:tc>
        <w:tc>
          <w:tcPr>
            <w:tcMar>
              <w:top w:type="dxa" w:w="80"/>
              <w:left w:type="dxa" w:w="100"/>
              <w:bottom w:type="dxa" w:w="80"/>
              <w:right w:type="dxa" w:w="100"/>
            </w:tcMar>
          </w:tcPr>
          <w:p>
            <w:pPr>
              <w:bidi/>
              <w:spacing w:after="0"/>
            </w:pPr>
            <w:r>
              <w:rPr>
                <w:b w:val="false"/>
                <w:sz w:val="18"/>
                <w:szCs w:val="18"/>
                <w:rtl/>
              </w:rPr>
              <w:t xml:space="preserve">يجوز القرار بالتمرير، ويحتاج شركاء يملكون أكثر من نصف رأس المال ما لم يشترط عقد التأسيس نسبة أعلى (المادة السادسة والستون بعد المائة).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شركة الشخص الواحد</w:t>
            </w:r>
          </w:p>
        </w:tc>
        <w:tc>
          <w:tcPr>
            <w:tcMar>
              <w:top w:type="dxa" w:w="80"/>
              <w:left w:type="dxa" w:w="100"/>
              <w:bottom w:type="dxa" w:w="80"/>
              <w:right w:type="dxa" w:w="100"/>
            </w:tcMar>
          </w:tcPr>
          <w:p>
            <w:pPr>
              <w:bidi/>
              <w:spacing w:after="0"/>
            </w:pPr>
            <w:r>
              <w:rPr>
                <w:b w:val="false"/>
                <w:sz w:val="18"/>
                <w:szCs w:val="18"/>
                <w:rtl/>
              </w:rPr>
              <w:t xml:space="preserve">قرارات المالك مكتوبة ومقيّدة (المادة السابعة والخمسون بعد المائة).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عزل المدير</w:t>
            </w:r>
          </w:p>
        </w:tc>
        <w:tc>
          <w:tcPr>
            <w:tcMar>
              <w:top w:type="dxa" w:w="80"/>
              <w:left w:type="dxa" w:w="100"/>
              <w:bottom w:type="dxa" w:w="80"/>
              <w:right w:type="dxa" w:w="100"/>
            </w:tcMar>
          </w:tcPr>
          <w:p>
            <w:pPr>
              <w:bidi/>
              <w:spacing w:after="0"/>
            </w:pPr>
            <w:r>
              <w:rPr>
                <w:b w:val="false"/>
                <w:sz w:val="18"/>
                <w:szCs w:val="18"/>
                <w:rtl/>
              </w:rPr>
              <w:t xml:space="preserve">عزل المدير تنظمه المادة الرابعة والستون بعد المائة. ولا تُضاف شروط لم تُراجع.</w:t>
            </w:r>
            <w:r>
              <w:rPr>
                <w:b w:val="false"/>
                <w:sz w:val="18"/>
                <w:szCs w:val="18"/>
                <w:rtl/>
              </w:rPr>
              <w:t xml:space="preserve"> [1]</w:t>
            </w:r>
          </w:p>
        </w:tc>
      </w:tr>
    </w:tbl>
    <w:p>
      <w:pPr>
        <w:bidi/>
      </w:pPr>
    </w:p>
    <w:p>
      <w:pPr>
        <w:pStyle w:val="Heading1"/>
        <w:pageBreakBefore/>
        <w:bidi/>
      </w:pPr>
      <w:r>
        <w:rPr>
          <w:rtl/>
        </w:rPr>
        <w:t xml:space="preserve">ملاحظات عن الإمارات العربية المتحدة</w:t>
      </w:r>
    </w:p>
    <w:p>
      <w:pPr>
        <w:bidi/>
      </w:pPr>
      <w:r>
        <w:rPr>
          <w:rtl/>
        </w:rPr>
        <w:t xml:space="preserve">المرسوم بقانون الاتحادي رقم (32) لسنة 2021. ونصاب قرارات الشركة ذات المسؤولية المحدودة لم يُراجع، فلا رقم مادة.</w:t>
      </w:r>
      <w:r>
        <w:rPr>
          <w:rtl/>
        </w:rPr>
        <w:t xml:space="preserve"> [2]</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نصاب القرار</w:t>
            </w:r>
          </w:p>
        </w:tc>
        <w:tc>
          <w:tcPr>
            <w:tcMar>
              <w:top w:type="dxa" w:w="80"/>
              <w:left w:type="dxa" w:w="100"/>
              <w:bottom w:type="dxa" w:w="80"/>
              <w:right w:type="dxa" w:w="100"/>
            </w:tcMar>
          </w:tcPr>
          <w:p>
            <w:pPr>
              <w:bidi/>
              <w:spacing w:after="0"/>
            </w:pPr>
            <w:r>
              <w:rPr>
                <w:b w:val="false"/>
                <w:sz w:val="18"/>
                <w:szCs w:val="18"/>
                <w:rtl/>
              </w:rPr>
              <w:t xml:space="preserve">قيد المراجعة. لا رقم مادة، ولا رسم، ولا ميعاد.</w:t>
            </w:r>
          </w:p>
        </w:tc>
      </w:tr>
    </w:tbl>
    <w:p>
      <w:pPr>
        <w:bidi/>
      </w:pPr>
    </w:p>
    <w:p>
      <w:pPr>
        <w:pStyle w:val="Heading1"/>
        <w:bidi/>
      </w:pPr>
      <w:r>
        <w:rPr>
          <w:rtl/>
        </w:rPr>
        <w:t xml:space="preserve">البحرين وقطر والكويت وعُمان</w:t>
      </w:r>
    </w:p>
    <w:p>
      <w:pPr>
        <w:pStyle w:val="ListParagraph"/>
        <w:numPr>
          <w:ilvl w:val="0"/>
          <w:numId w:val="2"/>
        </w:numPr>
        <w:bidi/>
      </w:pPr>
      <w:r>
        <w:rPr>
          <w:rtl/>
        </w:rPr>
        <w:t xml:space="preserve">البحرين: قيد المراجعة. لا رقم مادة ولا رسم ولا ميعاد.</w:t>
      </w:r>
    </w:p>
    <w:p>
      <w:pPr>
        <w:pStyle w:val="ListParagraph"/>
        <w:numPr>
          <w:ilvl w:val="0"/>
          <w:numId w:val="2"/>
        </w:numPr>
        <w:bidi/>
      </w:pPr>
      <w:r>
        <w:rPr>
          <w:rtl/>
        </w:rPr>
        <w:t xml:space="preserve">قطر: قيد المراجعة. لا رقم مادة ولا رسم ولا ميعاد.</w:t>
      </w:r>
    </w:p>
    <w:p>
      <w:pPr>
        <w:pStyle w:val="ListParagraph"/>
        <w:numPr>
          <w:ilvl w:val="0"/>
          <w:numId w:val="2"/>
        </w:numPr>
        <w:bidi/>
      </w:pPr>
      <w:r>
        <w:rPr>
          <w:rtl/>
        </w:rPr>
        <w:t xml:space="preserve">الكويت: قيد المراجعة. لا رقم مادة ولا رسم ولا ميعاد.</w:t>
      </w:r>
    </w:p>
    <w:p>
      <w:pPr>
        <w:pStyle w:val="ListParagraph"/>
        <w:numPr>
          <w:ilvl w:val="0"/>
          <w:numId w:val="2"/>
        </w:numPr>
        <w:bidi/>
      </w:pPr>
      <w:r>
        <w:rPr>
          <w:rtl/>
        </w:rPr>
        <w:t xml:space="preserve">سلطنة عُمان: قيد المراجعة. لا رقم مادة ولا رسم ولا ميعاد.</w:t>
      </w:r>
    </w:p>
    <w:p>
      <w:pPr>
        <w:pStyle w:val="Heading1"/>
        <w:pageBreakBefore/>
        <w:bidi/>
      </w:pPr>
      <w:r>
        <w:rPr>
          <w:rtl/>
        </w:rPr>
        <w:t xml:space="preserve">الملحق: كشف الحضور والتوقيع</w:t>
      </w:r>
    </w:p>
    <w:p>
      <w:pPr>
        <w:bidi/>
      </w:pPr>
      <w:r>
        <w:rPr>
          <w:rtl/>
        </w:rPr>
        <w:t xml:space="preserve">في الاجتماع اكتبوا من حضر. وفي التمرير اكتبوا من وقّع. ومجموع الحصص الموقّعة هو ما يُقاس عليه النصاب المكتوب في البند (3).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الاسم</w:t>
            </w:r>
          </w:p>
        </w:tc>
        <w:tc>
          <w:tcPr>
            <w:shd w:fill="EDEDED" w:color="auto" w:val="clear"/>
            <w:tcMar>
              <w:top w:type="dxa" w:w="80"/>
              <w:left w:type="dxa" w:w="100"/>
              <w:bottom w:type="dxa" w:w="80"/>
              <w:right w:type="dxa" w:w="100"/>
            </w:tcMar>
          </w:tcPr>
          <w:p>
            <w:pPr>
              <w:bidi/>
              <w:spacing w:after="0"/>
            </w:pPr>
            <w:r>
              <w:rPr>
                <w:b/>
                <w:bCs/>
                <w:sz w:val="18"/>
                <w:szCs w:val="18"/>
                <w:rtl/>
              </w:rPr>
              <w:t xml:space="preserve">الحصص</w:t>
            </w:r>
          </w:p>
        </w:tc>
        <w:tc>
          <w:tcPr>
            <w:shd w:fill="EDEDED" w:color="auto" w:val="clear"/>
            <w:tcMar>
              <w:top w:type="dxa" w:w="80"/>
              <w:left w:type="dxa" w:w="100"/>
              <w:bottom w:type="dxa" w:w="80"/>
              <w:right w:type="dxa" w:w="100"/>
            </w:tcMar>
          </w:tcPr>
          <w:p>
            <w:pPr>
              <w:bidi/>
              <w:spacing w:after="0"/>
            </w:pPr>
            <w:r>
              <w:rPr>
                <w:b/>
                <w:bCs/>
                <w:sz w:val="18"/>
                <w:szCs w:val="18"/>
                <w:rtl/>
              </w:rPr>
              <w:t xml:space="preserve">أصيل أو وكيل</w:t>
            </w:r>
          </w:p>
        </w:tc>
        <w:tc>
          <w:tcPr>
            <w:shd w:fill="EDEDED" w:color="auto" w:val="clear"/>
            <w:tcMar>
              <w:top w:type="dxa" w:w="80"/>
              <w:left w:type="dxa" w:w="100"/>
              <w:bottom w:type="dxa" w:w="80"/>
              <w:right w:type="dxa" w:w="100"/>
            </w:tcMar>
          </w:tcPr>
          <w:p>
            <w:pPr>
              <w:bidi/>
              <w:spacing w:after="0"/>
            </w:pPr>
            <w:r>
              <w:rPr>
                <w:b/>
                <w:bCs/>
                <w:sz w:val="18"/>
                <w:szCs w:val="18"/>
                <w:rtl/>
              </w:rPr>
              <w:t xml:space="preserve">التوقيع</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الاسم</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أصيل / وكيل</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o58ic_hqepdaz2o9hlmxs">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‪https://www.qanu.ai/ar/نماذج/نموذج-قرار-الشركاء‬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نظام الشركات، الصادر بالمرسوم الملكي رقم (م/132) وتاريخ 1443/12/1هـ </w:t>
      </w:r>
      <w:hyperlink w:history="1" r:id="rIdzsxidejpju10rwcs1qfws">
        <w:r>
          <w:rPr>
            <w:rStyle w:val="Hyperlink"/>
            <w:sz w:val="16"/>
            <w:szCs w:val="16"/>
          </w:rPr>
          <w:t xml:space="preserve">https://laws.boe.gov.sa/BoeLaws/Laws/LawDetails/a8376aea-1bc3-49d4-9027-aed900b555af/1</w:t>
        </w:r>
      </w:hyperlink>
    </w:p>
    <w:p>
      <w:pPr>
        <w:bidi/>
        <w:ind w:start="360" w:hanging="360"/>
      </w:pPr>
      <w:r>
        <w:rPr>
          <w:sz w:val="18"/>
          <w:szCs w:val="18"/>
          <w:rtl/>
        </w:rPr>
        <w:t xml:space="preserve">[2] البوابة الرسمية لحكومة الإمارات (u.ae)، قانون الشركات التجارية (مرسوم بقانون اتحادي رقم 32 لسنة 2021) </w:t>
      </w:r>
      <w:hyperlink w:history="1" r:id="rIdgqtv_nuo30ic-jyc6e7vu">
        <w:r>
          <w:rPr>
            <w:rStyle w:val="Hyperlink"/>
            <w:sz w:val="16"/>
            <w:szCs w:val="16"/>
          </w:rPr>
          <w:t xml:space="preserve">https://u.ae/en/information-and-services/business/Doing-business/doing-business-on-the-mainland/full-foreign-ownership-of-commercial-companies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الاسم ورقم السجل كما في </w:t>
      </w:r>
      <w:hyperlink w:history="1" r:id="rIdpwu-lgd6xq4z4mo5s5twk">
        <w:r>
          <w:rPr>
            <w:rStyle w:val="Hyperlink"/>
            <w:rtl/>
          </w:rPr>
          <w:t xml:space="preserve">السجل التجاري</w:t>
        </w:r>
      </w:hyperlink>
      <w:r>
        <w:rPr>
          <w:rtl/>
        </w:rPr>
        <w:t xml:space="preserve">، لا كما في البطاقة المختصرة.</w:t>
      </w:r>
    </w:p>
  </w:comment>
  <w:comment w:id="1" w:initials="Q" w:author="Qanu" w:date="2026-10-22T00:00:00.000Z">
    <w:p>
      <w:pPr>
        <w:bidi/>
      </w:pPr>
      <w:r>
        <w:rPr>
          <w:b/>
          <w:bCs/>
          <w:rtl/>
        </w:rPr>
        <w:t xml:space="preserve">ملاحظة صياغة</w:t>
      </w:r>
    </w:p>
    <w:p>
      <w:pPr>
        <w:bidi/>
      </w:pPr>
      <w:r>
        <w:rPr>
          <w:rtl/>
        </w:rPr>
        <w:t xml:space="preserve">صيغة واحدة. وفي السعودية الدعوة قبل واحد وعشرين يوماً، والاجتماع مرة في السنة على الأقل خلال ستة أشهر من نهاية السنة المالية، والمحضر في سجل.</w:t>
      </w:r>
      <w:r>
        <w:rPr>
          <w:rtl/>
        </w:rPr>
        <w:t xml:space="preserve"> [1]</w:t>
      </w:r>
      <w:r>
        <w:rPr>
          <w:rtl/>
        </w:rPr>
        <w:t xml:space="preserve"> والتمرير لشركاء يملكون أكثر من نصف رأس المال، ما لم يرفع عقد التأسيس النسبة.</w:t>
      </w:r>
      <w:r>
        <w:rPr>
          <w:rtl/>
        </w:rPr>
        <w:t xml:space="preserve"> [1]</w:t>
      </w:r>
    </w:p>
  </w:comment>
  <w:comment w:id="2" w:initials="Q" w:author="Qanu" w:date="2026-10-22T00:00:00.000Z">
    <w:p>
      <w:pPr>
        <w:bidi/>
      </w:pPr>
      <w:r>
        <w:rPr>
          <w:b/>
          <w:bCs/>
          <w:rtl/>
        </w:rPr>
        <w:t xml:space="preserve">ملاحظة صياغة</w:t>
      </w:r>
    </w:p>
    <w:p>
      <w:pPr>
        <w:bidi/>
      </w:pPr>
      <w:r>
        <w:rPr>
          <w:rtl/>
        </w:rPr>
        <w:t xml:space="preserve">انقلوا النصاب من العقد. وخانة فارغة تُملأ من العقد، لا من تقدير.</w:t>
      </w:r>
    </w:p>
  </w:comment>
  <w:comment w:id="3" w:initials="Q" w:author="Qanu" w:date="2026-10-22T00:00:00.000Z">
    <w:p>
      <w:pPr>
        <w:bidi/>
      </w:pPr>
      <w:r>
        <w:rPr>
          <w:b/>
          <w:bCs/>
          <w:rtl/>
        </w:rPr>
        <w:t xml:space="preserve">ملاحظة صياغة</w:t>
      </w:r>
    </w:p>
    <w:p>
      <w:pPr>
        <w:bidi/>
      </w:pPr>
      <w:r>
        <w:rPr>
          <w:rtl/>
        </w:rPr>
        <w:t xml:space="preserve">لا تضيفوا شرط عزل لم يُراجع. والمادة تُحيل إلى النص، ولا تلخصه هذه الصفحة بأكثر مما كُتب.</w:t>
      </w:r>
    </w:p>
  </w:comment>
  <w:comment w:id="4" w:initials="Q" w:author="Qanu" w:date="2026-10-22T00:00:00.000Z">
    <w:p>
      <w:pPr>
        <w:bidi/>
      </w:pPr>
      <w:r>
        <w:rPr>
          <w:b/>
          <w:bCs/>
          <w:rtl/>
        </w:rPr>
        <w:t xml:space="preserve">ملاحظة صياغة</w:t>
      </w:r>
    </w:p>
    <w:p>
      <w:pPr>
        <w:bidi/>
      </w:pPr>
      <w:r>
        <w:rPr>
          <w:rtl/>
        </w:rPr>
        <w:t xml:space="preserve">النص الجديد كاملاً، لا «وفق المرفق» إن لم يُرفق المرفق. وانظروا </w:t>
      </w:r>
      <w:hyperlink w:history="1" r:id="rId6djvpap4fmd2x100xskve">
        <w:r>
          <w:rPr>
            <w:rStyle w:val="Hyperlink"/>
            <w:rtl/>
          </w:rPr>
          <w:t xml:space="preserve">نموذج عقد التأسيس</w:t>
        </w:r>
      </w:hyperlink>
      <w:r>
        <w:rPr>
          <w:rtl/>
        </w:rPr>
        <w:t xml:space="preserve"> و</w:t>
      </w:r>
      <w:hyperlink w:history="1" r:id="rIdmoxbo88ojsvbk42aaxuwq">
        <w:r>
          <w:rPr>
            <w:rStyle w:val="Hyperlink"/>
            <w:rtl/>
          </w:rPr>
          <w:t xml:space="preserve">الفرق بين العقد والنظام</w:t>
        </w:r>
      </w:hyperlink>
      <w:r>
        <w:rPr>
          <w:rtl/>
        </w:rPr>
        <w:t xml:space="preserve">.</w:t>
      </w:r>
    </w:p>
  </w:comment>
  <w:comment w:id="5" w:initials="Q" w:author="Qanu" w:date="2026-10-22T00:00:00.000Z">
    <w:p>
      <w:pPr>
        <w:bidi/>
      </w:pPr>
      <w:r>
        <w:rPr>
          <w:b/>
          <w:bCs/>
          <w:rtl/>
        </w:rPr>
        <w:t xml:space="preserve">ملاحظة صياغة</w:t>
      </w:r>
    </w:p>
    <w:p>
      <w:pPr>
        <w:bidi/>
      </w:pPr>
      <w:r>
        <w:rPr>
          <w:rtl/>
        </w:rPr>
        <w:t xml:space="preserve">المبلغ من القوائم التي اعتمدها الشركاء. وهذه الصفحة لا تحسب الربح القابل للتوزيع.</w:t>
      </w:r>
    </w:p>
  </w:comment>
  <w:comment w:id="6" w:initials="Q" w:author="Qanu" w:date="2026-10-22T00:00:00.000Z">
    <w:p>
      <w:pPr>
        <w:bidi/>
      </w:pPr>
      <w:r>
        <w:rPr>
          <w:b/>
          <w:bCs/>
          <w:rtl/>
        </w:rPr>
        <w:t xml:space="preserve">ملاحظة صياغة</w:t>
      </w:r>
    </w:p>
    <w:p>
      <w:pPr>
        <w:bidi/>
      </w:pPr>
      <w:r>
        <w:rPr>
          <w:rtl/>
        </w:rPr>
        <w:t xml:space="preserve">المدينة والنشاط. وقيد الفرع إجراء لدى الجهة، لا أثراً للتوقيع وحده.</w:t>
      </w:r>
    </w:p>
  </w:comment>
  <w:comment w:id="7" w:initials="Q" w:author="Qanu" w:date="2026-10-22T00:00:00.000Z">
    <w:p>
      <w:pPr>
        <w:bidi/>
      </w:pPr>
      <w:r>
        <w:rPr>
          <w:b/>
          <w:bCs/>
          <w:rtl/>
        </w:rPr>
        <w:t xml:space="preserve">ملاحظة صياغة</w:t>
      </w:r>
    </w:p>
    <w:p>
      <w:pPr>
        <w:bidi/>
      </w:pPr>
      <w:r>
        <w:rPr>
          <w:rtl/>
        </w:rPr>
        <w:t xml:space="preserve">القرار يثبّت موافقة الشركاء إن لزم. وبيع الحصة عقد آخر. ولا ميعاد استرداد في هذه الصفحة.</w:t>
      </w:r>
    </w:p>
  </w:comment>
  <w:comment w:id="8" w:initials="Q" w:author="Qanu" w:date="2026-10-22T00:00:00.000Z">
    <w:p>
      <w:pPr>
        <w:bidi/>
      </w:pPr>
      <w:r>
        <w:rPr>
          <w:b/>
          <w:bCs/>
          <w:rtl/>
        </w:rPr>
        <w:t xml:space="preserve">ملاحظة صياغة</w:t>
      </w:r>
    </w:p>
    <w:p>
      <w:pPr>
        <w:bidi/>
      </w:pPr>
      <w:r>
        <w:rPr>
          <w:rtl/>
        </w:rPr>
        <w:t xml:space="preserve">اسم المصفّي وحدّ صلاحياته. ولا أجل نظامي للتصفية في النص الذي رُوجع هنا.</w:t>
      </w:r>
    </w:p>
  </w:comment>
  <w:comment w:id="9" w:initials="Q" w:author="Qanu" w:date="2026-10-22T00:00:00.000Z">
    <w:p>
      <w:pPr>
        <w:bidi/>
      </w:pPr>
      <w:r>
        <w:rPr>
          <w:b/>
          <w:bCs/>
          <w:rtl/>
        </w:rPr>
        <w:t xml:space="preserve">ملاحظة صياغة</w:t>
      </w:r>
    </w:p>
    <w:p>
      <w:pPr>
        <w:bidi/>
      </w:pPr>
      <w:r>
        <w:rPr>
          <w:rtl/>
        </w:rPr>
        <w:t xml:space="preserve">شركة الشخص الواحد: القرار مكتوب ومقيَّد، بلا جمعية شركاء.</w:t>
      </w:r>
      <w:r>
        <w:rPr>
          <w:rtl/>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C61C54DF-C3CD-81B5-53E8-538018328167}"/>
    <w:embedBold r:id="rId2" w:fontKey="{85CC7972-7B46-392E-3A52-6B31D8BF33C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‪https://www.qanu.ai/ar/نماذج/نموذج-قرار-الشركاء‬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‪https://www.qanu.ai/ar/نماذج/نموذج-قرار-الشركاء‬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pwu-lgd6xq4z4mo5s5twk" Type="http://schemas.openxmlformats.org/officeDocument/2006/relationships/hyperlink" Target="https://www.qanu.ai/ar/%D9%85%D8%B3%D8%B1%D8%AF-%D9%82%D8%A7%D9%86%D9%88%D9%86%D9%8A/%D8%B3%D8%AC%D9%84-%D8%AA%D8%AC%D8%A7%D8%B1%D9%8A" TargetMode="External"/><Relationship Id="rId6djvpap4fmd2x100xskve" Type="http://schemas.openxmlformats.org/officeDocument/2006/relationships/hyperlink" Target="https://www.qanu.ai/ar/%D9%86%D9%85%D8%A7%D8%B0%D8%AC/%D9%86%D9%85%D9%88%D8%B0%D8%AC-%D8%B9%D9%82%D8%AF-%D8%AA%D8%A3%D8%B3%D9%8A%D8%B3-%D8%B4%D8%B1%D9%83%D8%A9" TargetMode="External"/><Relationship Id="rIdmoxbo88ojsvbk42aaxuwq" Type="http://schemas.openxmlformats.org/officeDocument/2006/relationships/hyperlink" Target="https://www.qanu.ai/ar/%D8%A3%D8%AF%D9%84%D8%A9/%D8%A7%D9%84%D9%81%D8%B1%D9%82-%D8%A8%D9%8A%D9%86-%D8%B9%D9%82%D8%AF-%D8%A7%D9%84%D8%AA%D8%A3%D8%B3%D9%8A%D8%B3-%D9%88%D8%A7%D9%84%D9%86%D8%B8%D8%A7%D9%85-%D8%A7%D9%84%D8%A3%D8%B3%D8%A7%D8%B3%D9%8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4lxfuz6s-jzghengm28fa" Type="http://schemas.openxmlformats.org/officeDocument/2006/relationships/hyperlink" Target="https://laws.boe.gov.sa/BoeLaws/Laws/LawDetails/a8376aea-1bc3-49d4-9027-aed900b555af/1" TargetMode="External"/><Relationship Id="rId20xsc5zeqbtrcoe3qncnb" Type="http://schemas.openxmlformats.org/officeDocument/2006/relationships/hyperlink" Target="https://u.ae/en/information-and-services/business/Doing-business/doing-business-on-the-mainland/full-foreign-ownership-of-commercial-companies" TargetMode="External"/><Relationship Id="rIdo58ic_hqepdaz2o9hlmxs" Type="http://schemas.openxmlformats.org/officeDocument/2006/relationships/hyperlink" Target="https://creativecommons.org/licenses/by/4.0/deed.ar" TargetMode="External"/><Relationship Id="rIdzsxidejpju10rwcs1qfws" Type="http://schemas.openxmlformats.org/officeDocument/2006/relationships/hyperlink" Target="https://laws.boe.gov.sa/BoeLaws/Laws/LawDetails/a8376aea-1bc3-49d4-9027-aed900b555af/1" TargetMode="External"/><Relationship Id="rIdgqtv_nuo30ic-jyc6e7vu" Type="http://schemas.openxmlformats.org/officeDocument/2006/relationships/hyperlink" Target="https://u.ae/en/information-and-services/business/Doing-business/doing-business-on-the-mainland/full-foreign-ownership-of-commercial-companies"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قرار الشركاء</dc:title>
  <dc:creator>Qanu</dc:creator>
  <cp:keywords>قرار الشركاء, الجمعية العامة, شركة ذات مسؤولية محدودة,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2026-10-22T19:44:50.744Z</dcterms:created>
  <dcterms:modified xsi:type="dcterms:W3CDTF">2026-10-22T19:44:50.744Z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https://www.qanu.ai/ar/نماذج/نموذج-قرار-الشركاء</vt:lpwstr>
  </property>
</Properties>
</file>