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This resolution does not register the change.</w:t>
      </w:r>
      <w:r>
        <w:rPr>
          <w:rtl w:val="false"/>
        </w:rPr>
        <w:t xml:space="preserve"> In Saudi Arabia a limited liability company has a general assembly of all the partners. It meets at least once a year, within six months of the financial year-end. Notice is twenty-one days. Minutes are kept in a register.</w:t>
      </w:r>
      <w:r>
        <w:rPr>
          <w:rtl w:val="false"/>
        </w:rPr>
        <w:t xml:space="preserve"> [1]</w:t>
      </w:r>
      <w:r>
        <w:rPr>
          <w:rtl w:val="false"/>
        </w:rPr>
        <w:t xml:space="preserve"> A written resolution by circulation is allowed and needs partners holding more than half the capital, unless the memorandum sets a higher threshold.</w:t>
      </w:r>
      <w:r>
        <w:rPr>
          <w:rtl w:val="false"/>
        </w:rPr>
        <w:t xml:space="preserve"> [1]</w:t>
      </w:r>
      <w:r>
        <w:rPr>
          <w:rtl w:val="false"/>
        </w:rPr>
        <w:t xml:space="preserve"> The owner’s decisions in a one-person company are in writing and are recorded.</w:t>
      </w:r>
      <w:r>
        <w:rPr>
          <w:rtl w:val="false"/>
        </w:rPr>
        <w:t xml:space="preserve"> [1]</w:t>
      </w:r>
      <w:r>
        <w:rPr>
          <w:rtl w:val="false"/>
        </w:rPr>
        <w:t xml:space="preserve"> Removal of a manager is Article 164. This file adds no further conditions.</w:t>
      </w:r>
      <w:r>
        <w:rPr>
          <w:rtl w:val="false"/>
        </w:rPr>
        <w:t xml:space="preserve"> [1]</w:t>
      </w:r>
      <w:r>
        <w:rPr>
          <w:rtl w:val="false"/>
        </w:rPr>
        <w:t xml:space="preserve"> LLC resolution majorities in the UAE are under review.</w:t>
      </w:r>
      <w:r>
        <w:rPr>
          <w:rtl w:val="false"/>
        </w:rPr>
        <w:t xml:space="preserve"> [2]</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Companies Law: </w:t>
      </w:r>
      <w:hyperlink w:history="1" r:id="rIdmyoifrblwhdmzlklrod_d">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xp10cj2a6oq4u1yyjdr4p">
        <w:r>
          <w:rPr>
            <w:rStyle w:val="Hyperlink"/>
            <w:sz w:val="17"/>
            <w:szCs w:val="17"/>
          </w:rPr>
          <w:t xml:space="preserve">https://u.ae/en/information-and-services/business/Doing-business/doing-business-on-the-mainland/full-foreign-ownership-of-commercial-companies</w:t>
        </w:r>
      </w:hyperlink>
    </w:p>
    <w:p>
      <w:pPr>
        <w:bidi w:val="false"/>
        <w:spacing w:after="240"/>
      </w:pPr>
    </w:p>
    <w:p>
      <w:pPr>
        <w:pStyle w:val="Title"/>
        <w:bidi w:val="false"/>
      </w:pPr>
      <w:r>
        <w:rPr>
          <w:rtl w:val="false"/>
        </w:rPr>
        <w:t xml:space="preserve">Partners' resolution</w:t>
      </w:r>
    </w:p>
    <w:p>
      <w:pPr>
        <w:bidi w:val="false"/>
        <w:spacing w:after="240"/>
      </w:pPr>
      <w:r>
        <w:rPr>
          <w:color w:val="444444"/>
          <w:rtl w:val="false"/>
        </w:rPr>
        <w:t xml:space="preserve">A resolution of the partners of a limited liability company in the GCC: a general-assembly meeting or a written circulation; appointing or removing a manager; amending the memorandum; distributing profits; opening a branch; admitting or exiting a partner; and dissolution. Replace every </w:t>
      </w:r>
      <w:r>
        <w:rPr>
          <w:color w:val="444444"/>
          <w:highlight w:val="yellow"/>
          <w:rtl w:val="false"/>
        </w:rPr>
        <w:t xml:space="preserve">[</w:t>
      </w:r>
      <w:r>
        <w:rPr>
          <w:color w:val="444444"/>
          <w:highlight w:val="yellow"/>
          <w:rtl w:val="false"/>
        </w:rPr>
        <w:t xml:space="preserve">phrase in brackets</w:t>
      </w:r>
      <w:r>
        <w:rPr>
          <w:color w:val="444444"/>
          <w:highlight w:val="yellow"/>
          <w:rtl w:val="false"/>
        </w:rPr>
        <w:t xml:space="preserve">]</w:t>
      </w:r>
      <w:r>
        <w:rPr>
          <w:color w:val="444444"/>
          <w:rtl w:val="false"/>
        </w:rPr>
        <w:t xml:space="preserve"> and delete the clause that does not apply. Signature does not file the change. This draft states no fee and no deadline. This is a starting point. Have it reviewed by a lawyer licensed in the relevant jurisdiction before you use it.</w:t>
      </w:r>
    </w:p>
    <w:p>
      <w:pPr>
        <w:pStyle w:val="Heading1"/>
        <w:bidi w:val="false"/>
      </w:pPr>
      <w:commentRangeStart w:id="0"/>
      <w:r>
        <w:rPr>
          <w:rtl w:val="false"/>
        </w:rPr>
        <w:t xml:space="preserve">Clause 1. The company</w:t>
      </w:r>
      <w:commentRangeEnd w:id="0"/>
      <w:r>
        <w:rPr>
          <w:rtl w:val="false"/>
        </w:rPr>
        <w:commentReference w:id="0"/>
      </w:r>
    </w:p>
    <w:p>
      <w:pPr>
        <w:bidi w:val="false"/>
      </w:pPr>
      <w:r>
        <w:rPr>
          <w:highlight w:val="yellow"/>
          <w:rtl w:val="false"/>
        </w:rPr>
        <w:t xml:space="preserve">[</w:t>
      </w:r>
      <w:r>
        <w:rPr>
          <w:highlight w:val="yellow"/>
          <w:rtl w:val="false"/>
        </w:rPr>
        <w:t xml:space="preserve">Name</w:t>
      </w:r>
      <w:r>
        <w:rPr>
          <w:highlight w:val="yellow"/>
          <w:rtl w:val="false"/>
        </w:rPr>
        <w:t xml:space="preserve">]</w:t>
      </w:r>
      <w:r>
        <w:rPr>
          <w:rtl w:val="false"/>
        </w:rPr>
        <w:t xml:space="preserve"> Limited Liability Company,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capital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currency</w:t>
      </w:r>
      <w:r>
        <w:rPr>
          <w:highlight w:val="yellow"/>
          <w:rtl w:val="false"/>
        </w:rPr>
        <w:t xml:space="preserve">]</w:t>
      </w:r>
      <w:r>
        <w:rPr>
          <w:rtl w:val="false"/>
        </w:rPr>
        <w:t xml:space="preserve">, seat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financial year-end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(the “Company”).</w:t>
      </w:r>
    </w:p>
    <w:p>
      <w:pPr>
        <w:pStyle w:val="Heading1"/>
        <w:bidi w:val="false"/>
      </w:pPr>
      <w:commentRangeStart w:id="1"/>
      <w:r>
        <w:rPr>
          <w:rtl w:val="false"/>
        </w:rPr>
        <w:t xml:space="preserve">Clause 2. Meeting or circulation</w:t>
      </w:r>
      <w:commentRangeEnd w:id="1"/>
      <w:r>
        <w:rPr>
          <w:rtl w:val="false"/>
        </w:rPr>
        <w:commentReference w:id="1"/>
      </w:r>
    </w:p>
    <w:p>
      <w:pPr>
        <w:bidi w:val="false"/>
        <w:ind w:start="360" w:hanging="0"/>
      </w:pPr>
      <w:r>
        <w:rPr>
          <w:rtl w:val="false"/>
        </w:rPr>
        <w:t xml:space="preserve">(a) Meeting. Delete this paragraph if the resolution is by circulation. The general assembly met at </w:t>
      </w:r>
      <w:r>
        <w:rPr>
          <w:highlight w:val="yellow"/>
          <w:rtl w:val="false"/>
        </w:rPr>
        <w:t xml:space="preserve">[</w:t>
      </w:r>
      <w:r>
        <w:rPr>
          <w:highlight w:val="yellow"/>
          <w:rtl w:val="false"/>
        </w:rPr>
        <w:t xml:space="preserve">place or means</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on a notice dated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Those present are in the annex.</w:t>
      </w:r>
    </w:p>
    <w:p>
      <w:pPr>
        <w:bidi w:val="false"/>
        <w:ind w:start="360" w:hanging="0"/>
      </w:pPr>
      <w:r>
        <w:rPr>
          <w:rtl w:val="false"/>
        </w:rPr>
        <w:t xml:space="preserve">(b) Circulation. Delete this paragraph if a meeting was held. This resolution is in writing, with no meeting, and is signed by the partners whose shares are in the annex.</w:t>
      </w:r>
    </w:p>
    <w:p>
      <w:pPr>
        <w:pStyle w:val="Heading1"/>
        <w:bidi w:val="false"/>
      </w:pPr>
      <w:commentRangeStart w:id="2"/>
      <w:r>
        <w:rPr>
          <w:rtl w:val="false"/>
        </w:rPr>
        <w:t xml:space="preserve">Clause 3. Quorum and majority</w:t>
      </w:r>
      <w:commentRangeEnd w:id="2"/>
      <w:r>
        <w:rPr>
          <w:rtl w:val="false"/>
        </w:rPr>
        <w:commentReference w:id="2"/>
      </w:r>
    </w:p>
    <w:p>
      <w:pPr>
        <w:bidi w:val="false"/>
      </w:pPr>
      <w:r>
        <w:rPr>
          <w:rtl w:val="false"/>
        </w:rPr>
        <w:t xml:space="preserve">The quorum of a meeting held in person is as the memorandum states: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This page states no fraction that was not confirmed. For circulation in Saudi Arabia, shares holding more than half the capital are enough, unless the memorandum sets a higher threshold, which here is: </w:t>
      </w:r>
      <w:r>
        <w:rPr>
          <w:highlight w:val="yellow"/>
          <w:rtl w:val="false"/>
        </w:rPr>
        <w:t xml:space="preserve">[</w:t>
      </w:r>
      <w:r>
        <w:rPr>
          <w:highlight w:val="yellow"/>
          <w:rtl w:val="false"/>
        </w:rPr>
        <w:t xml:space="preserve">the percentage in the memorandum, or “not raised”</w:t>
      </w:r>
      <w:r>
        <w:rPr>
          <w:highlight w:val="yellow"/>
          <w:rtl w:val="false"/>
        </w:rPr>
        <w:t xml:space="preserve">]</w:t>
      </w:r>
      <w:r>
        <w:rPr>
          <w:rtl w:val="false"/>
        </w:rPr>
        <w:t xml:space="preserve">.</w:t>
      </w:r>
    </w:p>
    <w:p>
      <w:pPr>
        <w:pStyle w:val="Heading1"/>
        <w:bidi w:val="false"/>
      </w:pPr>
      <w:commentRangeStart w:id="3"/>
      <w:r>
        <w:rPr>
          <w:rtl w:val="false"/>
        </w:rPr>
        <w:t xml:space="preserve">Clause 4. Appoint or remove a manager</w:t>
      </w:r>
      <w:commentRangeEnd w:id="3"/>
      <w:r>
        <w:rPr>
          <w:rtl w:val="false"/>
        </w:rPr>
        <w:commentReference w:id="3"/>
      </w:r>
    </w:p>
    <w:p>
      <w:pPr>
        <w:bidi w:val="false"/>
        <w:ind w:start="360" w:hanging="0"/>
      </w:pPr>
      <w:r>
        <w:rPr>
          <w:rtl w:val="false"/>
        </w:rPr>
        <w:t xml:space="preserve">(a) Appointment. Delete if no manager is appointed.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is appointed manager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with the powers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for </w:t>
      </w:r>
      <w:r>
        <w:rPr>
          <w:highlight w:val="yellow"/>
          <w:rtl w:val="false"/>
        </w:rPr>
        <w:t xml:space="preserve">[</w:t>
      </w:r>
      <w:r>
        <w:rPr>
          <w:highlight w:val="yellow"/>
          <w:rtl w:val="false"/>
        </w:rPr>
        <w:t xml:space="preserve">duration</w:t>
      </w:r>
      <w:r>
        <w:rPr>
          <w:highlight w:val="yellow"/>
          <w:rtl w:val="false"/>
        </w:rPr>
        <w:t xml:space="preserve">]</w:t>
      </w:r>
      <w:r>
        <w:rPr>
          <w:rtl w:val="false"/>
        </w:rPr>
        <w:t xml:space="preserve">.</w:t>
      </w:r>
    </w:p>
    <w:p>
      <w:pPr>
        <w:bidi w:val="false"/>
        <w:ind w:start="360" w:hanging="0"/>
      </w:pPr>
      <w:r>
        <w:rPr>
          <w:rtl w:val="false"/>
        </w:rPr>
        <w:t xml:space="preserve">(b) Removal. Delete if no manager is removed.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is removed as manager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Removal of a manager in Saudi Arabia is Article 164.</w:t>
      </w:r>
    </w:p>
    <w:p>
      <w:pPr>
        <w:pStyle w:val="Heading1"/>
        <w:bidi w:val="false"/>
      </w:pPr>
      <w:commentRangeStart w:id="4"/>
      <w:r>
        <w:rPr>
          <w:rtl w:val="false"/>
        </w:rPr>
        <w:t xml:space="preserve">Clause 5. Amendment of the memorandum</w:t>
      </w:r>
      <w:commentRangeEnd w:id="4"/>
      <w:r>
        <w:rPr>
          <w:rtl w:val="false"/>
        </w:rPr>
        <w:commentReference w:id="4"/>
      </w:r>
    </w:p>
    <w:p>
      <w:pPr>
        <w:bidi w:val="false"/>
      </w:pPr>
      <w:r>
        <w:rPr>
          <w:rtl w:val="false"/>
        </w:rPr>
        <w:t xml:space="preserve">Delete this clause if the memorandum is not amended. Clause </w:t>
      </w:r>
      <w:r>
        <w:rPr>
          <w:highlight w:val="yellow"/>
          <w:rtl w:val="false"/>
        </w:rPr>
        <w:t xml:space="preserve">[</w:t>
      </w:r>
      <w:r>
        <w:rPr>
          <w:highlight w:val="yellow"/>
          <w:rtl w:val="false"/>
        </w:rPr>
        <w:t xml:space="preserve">number</w:t>
      </w:r>
      <w:r>
        <w:rPr>
          <w:highlight w:val="yellow"/>
          <w:rtl w:val="false"/>
        </w:rPr>
        <w:t xml:space="preserve">]</w:t>
      </w:r>
      <w:r>
        <w:rPr>
          <w:rtl w:val="false"/>
        </w:rPr>
        <w:t xml:space="preserve"> of the memorandum is amended to read: </w:t>
      </w:r>
      <w:r>
        <w:rPr>
          <w:highlight w:val="yellow"/>
          <w:rtl w:val="false"/>
        </w:rPr>
        <w:t xml:space="preserve">[</w:t>
      </w:r>
      <w:r>
        <w:rPr>
          <w:highlight w:val="yellow"/>
          <w:rtl w:val="false"/>
        </w:rPr>
        <w:t xml:space="preserve">new text</w:t>
      </w:r>
      <w:r>
        <w:rPr>
          <w:highlight w:val="yellow"/>
          <w:rtl w:val="false"/>
        </w:rPr>
        <w:t xml:space="preserve">]</w:t>
      </w:r>
      <w:r>
        <w:rPr>
          <w:rtl w:val="false"/>
        </w:rPr>
        <w:t xml:space="preserve">. Filing with the registrar is a later step. This draft states no deadline.</w:t>
      </w:r>
    </w:p>
    <w:p>
      <w:pPr>
        <w:pStyle w:val="Heading1"/>
        <w:bidi w:val="false"/>
      </w:pPr>
      <w:commentRangeStart w:id="5"/>
      <w:r>
        <w:rPr>
          <w:rtl w:val="false"/>
        </w:rPr>
        <w:t xml:space="preserve">Clause 6. Distribution of profits</w:t>
      </w:r>
      <w:commentRangeEnd w:id="5"/>
      <w:r>
        <w:rPr>
          <w:rtl w:val="false"/>
        </w:rPr>
        <w:commentReference w:id="5"/>
      </w:r>
    </w:p>
    <w:p>
      <w:pPr>
        <w:bidi w:val="false"/>
      </w:pPr>
      <w:r>
        <w:rPr>
          <w:rtl w:val="false"/>
        </w:rPr>
        <w:t xml:space="preserve">Delete this clause if no profits are distributed. Profits of the year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currency</w:t>
      </w:r>
      <w:r>
        <w:rPr>
          <w:highlight w:val="yellow"/>
          <w:rtl w:val="false"/>
        </w:rPr>
        <w:t xml:space="preserve">]</w:t>
      </w:r>
      <w:r>
        <w:rPr>
          <w:rtl w:val="false"/>
        </w:rPr>
        <w:t xml:space="preserve"> are distributed in proportion to the shares, are due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are paid by </w:t>
      </w:r>
      <w:r>
        <w:rPr>
          <w:highlight w:val="yellow"/>
          <w:rtl w:val="false"/>
        </w:rPr>
        <w:t xml:space="preserve">[</w:t>
      </w:r>
      <w:r>
        <w:rPr>
          <w:highlight w:val="yellow"/>
          <w:rtl w:val="false"/>
        </w:rPr>
        <w:t xml:space="preserve">account or method</w:t>
      </w:r>
      <w:r>
        <w:rPr>
          <w:highlight w:val="yellow"/>
          <w:rtl w:val="false"/>
        </w:rPr>
        <w:t xml:space="preserve">]</w:t>
      </w:r>
      <w:r>
        <w:rPr>
          <w:rtl w:val="false"/>
        </w:rPr>
        <w:t xml:space="preserve">. This page states no statutory distribution percentage.</w:t>
      </w:r>
    </w:p>
    <w:p>
      <w:pPr>
        <w:pStyle w:val="Heading1"/>
        <w:bidi w:val="false"/>
      </w:pPr>
      <w:commentRangeStart w:id="6"/>
      <w:r>
        <w:rPr>
          <w:rtl w:val="false"/>
        </w:rPr>
        <w:t xml:space="preserve">Clause 7. A branch</w:t>
      </w:r>
      <w:commentRangeEnd w:id="6"/>
      <w:r>
        <w:rPr>
          <w:rtl w:val="false"/>
        </w:rPr>
        <w:commentReference w:id="6"/>
      </w:r>
    </w:p>
    <w:p>
      <w:pPr>
        <w:bidi w:val="false"/>
      </w:pPr>
      <w:r>
        <w:rPr>
          <w:rtl w:val="false"/>
        </w:rPr>
        <w:t xml:space="preserve">Delete this clause if no branch is opened. A branch is opened in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to carry on </w:t>
      </w:r>
      <w:r>
        <w:rPr>
          <w:highlight w:val="yellow"/>
          <w:rtl w:val="false"/>
        </w:rPr>
        <w:t xml:space="preserve">[</w:t>
      </w:r>
      <w:r>
        <w:rPr>
          <w:highlight w:val="yellow"/>
          <w:rtl w:val="false"/>
        </w:rPr>
        <w:t xml:space="preserve">activity</w:t>
      </w:r>
      <w:r>
        <w:rPr>
          <w:highlight w:val="yellow"/>
          <w:rtl w:val="false"/>
        </w:rPr>
        <w:t xml:space="preserve">]</w:t>
      </w:r>
      <w:r>
        <w:rPr>
          <w:rtl w:val="false"/>
        </w:rPr>
        <w:t xml:space="preserve">, and is registered with the registrar. This draft states no fee.</w:t>
      </w:r>
    </w:p>
    <w:p>
      <w:pPr>
        <w:pStyle w:val="Heading1"/>
        <w:bidi w:val="false"/>
      </w:pPr>
      <w:commentRangeStart w:id="7"/>
      <w:r>
        <w:rPr>
          <w:rtl w:val="false"/>
        </w:rPr>
        <w:t xml:space="preserve">Clause 8. Admitting or exiting a partner</w:t>
      </w:r>
      <w:commentRangeEnd w:id="7"/>
      <w:r>
        <w:rPr>
          <w:rtl w:val="false"/>
        </w:rPr>
        <w:commentReference w:id="7"/>
      </w:r>
    </w:p>
    <w:p>
      <w:pPr>
        <w:bidi w:val="false"/>
      </w:pPr>
      <w:r>
        <w:rPr>
          <w:rtl w:val="false"/>
        </w:rPr>
        <w:t xml:space="preserve">Delete this clause if the partners do not change.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is admitted with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shares, or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exits and those shares pass to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share-transfer instrument is a separate document. It is not in this file.</w:t>
      </w:r>
    </w:p>
    <w:p>
      <w:pPr>
        <w:pStyle w:val="Heading1"/>
        <w:bidi w:val="false"/>
      </w:pPr>
      <w:commentRangeStart w:id="8"/>
      <w:r>
        <w:rPr>
          <w:rtl w:val="false"/>
        </w:rPr>
        <w:t xml:space="preserve">Clause 9. Dissolution and the liquidator</w:t>
      </w:r>
      <w:commentRangeEnd w:id="8"/>
      <w:r>
        <w:rPr>
          <w:rtl w:val="false"/>
        </w:rPr>
        <w:commentReference w:id="8"/>
      </w:r>
    </w:p>
    <w:p>
      <w:pPr>
        <w:bidi w:val="false"/>
      </w:pPr>
      <w:r>
        <w:rPr>
          <w:rtl w:val="false"/>
        </w:rPr>
        <w:t xml:space="preserve">Delete this clause if the company is not dissolved. The Company is dissolved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is appointed liquidator, with the powers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This draft states no liquidation deadline.</w:t>
      </w:r>
    </w:p>
    <w:p>
      <w:pPr>
        <w:pStyle w:val="Heading1"/>
        <w:bidi w:val="false"/>
      </w:pPr>
      <w:commentRangeStart w:id="9"/>
      <w:r>
        <w:rPr>
          <w:rtl w:val="false"/>
        </w:rPr>
        <w:t xml:space="preserve">Clause 10. Signature and filing</w:t>
      </w:r>
      <w:commentRangeEnd w:id="9"/>
      <w:r>
        <w:rPr>
          <w:rtl w:val="false"/>
        </w:rPr>
        <w:commentReference w:id="9"/>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Place and date:</w:t>
      </w:r>
      <w:r>
        <w:rPr>
          <w:rtl w:val="false"/>
        </w:rPr>
        <w:t xml:space="preserv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Partners:</w:t>
      </w:r>
      <w:r>
        <w:rPr>
          <w:rtl w:val="false"/>
        </w:rPr>
        <w:t xml:space="preserve"> name, shares and signature in the annex.</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Stamp:</w:t>
      </w:r>
      <w:r>
        <w:rPr>
          <w:rtl w:val="false"/>
        </w:rPr>
        <w:t xml:space="preserve"> </w:t>
      </w:r>
      <w:r>
        <w:rPr>
          <w:highlight w:val="yellow"/>
          <w:rtl w:val="false"/>
        </w:rPr>
        <w:t xml:space="preserve">[</w:t>
      </w:r>
      <w:r>
        <w:rPr>
          <w:highlight w:val="yellow"/>
          <w:rtl w:val="false"/>
        </w:rPr>
        <w:t xml:space="preserve">if any</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Filing:</w:t>
      </w:r>
      <w:r>
        <w:rPr>
          <w:rtl w:val="false"/>
        </w:rPr>
        <w:t xml:space="preserve"> what must be published is filed with the registrar. This draft states no fee and no deadline.</w:t>
      </w:r>
    </w:p>
    <w:p>
      <w:pPr>
        <w:pStyle w:val="Heading1"/>
        <w:pageBreakBefore/>
        <w:bidi w:val="false"/>
      </w:pPr>
      <w:r>
        <w:rPr>
          <w:rtl w:val="false"/>
        </w:rPr>
        <w:t xml:space="preserve">Notes on Saudi Arabia</w:t>
      </w:r>
    </w:p>
    <w:p>
      <w:pPr>
        <w:bidi w:val="false"/>
      </w:pPr>
      <w:r>
        <w:rPr>
          <w:rtl w:val="false"/>
        </w:rPr>
        <w:t xml:space="preserve">Companies Law, Royal Decree No. M/132 of 1/12/1443H. What follows is what was confirmed for this page.</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General assembly</w:t>
            </w:r>
          </w:p>
        </w:tc>
        <w:tc>
          <w:tcPr>
            <w:tcMar>
              <w:top w:type="dxa" w:w="80"/>
              <w:left w:type="dxa" w:w="100"/>
              <w:bottom w:type="dxa" w:w="80"/>
              <w:right w:type="dxa" w:w="100"/>
            </w:tcMar>
          </w:tcPr>
          <w:p>
            <w:pPr>
              <w:bidi w:val="false"/>
              <w:spacing w:after="0"/>
            </w:pPr>
            <w:r>
              <w:rPr>
                <w:b w:val="false"/>
                <w:sz w:val="18"/>
                <w:szCs w:val="18"/>
                <w:rtl w:val="false"/>
              </w:rPr>
              <w:t xml:space="preserve">A limited liability company has a general assembly of all the partners. It meets at least once a year, within six months of the financial year-end. Notice is twenty-one days. Minutes are kept in a register (Article 165).</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Circulation</w:t>
            </w:r>
          </w:p>
        </w:tc>
        <w:tc>
          <w:tcPr>
            <w:tcMar>
              <w:top w:type="dxa" w:w="80"/>
              <w:left w:type="dxa" w:w="100"/>
              <w:bottom w:type="dxa" w:w="80"/>
              <w:right w:type="dxa" w:w="100"/>
            </w:tcMar>
          </w:tcPr>
          <w:p>
            <w:pPr>
              <w:bidi w:val="false"/>
              <w:spacing w:after="0"/>
            </w:pPr>
            <w:r>
              <w:rPr>
                <w:b w:val="false"/>
                <w:sz w:val="18"/>
                <w:szCs w:val="18"/>
                <w:rtl w:val="false"/>
              </w:rPr>
              <w:t xml:space="preserve">A written resolution by circulation is allowed. It needs partners holding more than half the capital, unless the memorandum sets a higher threshold (Article 166).</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One-person company</w:t>
            </w:r>
          </w:p>
        </w:tc>
        <w:tc>
          <w:tcPr>
            <w:tcMar>
              <w:top w:type="dxa" w:w="80"/>
              <w:left w:type="dxa" w:w="100"/>
              <w:bottom w:type="dxa" w:w="80"/>
              <w:right w:type="dxa" w:w="100"/>
            </w:tcMar>
          </w:tcPr>
          <w:p>
            <w:pPr>
              <w:bidi w:val="false"/>
              <w:spacing w:after="0"/>
            </w:pPr>
            <w:r>
              <w:rPr>
                <w:b w:val="false"/>
                <w:sz w:val="18"/>
                <w:szCs w:val="18"/>
                <w:rtl w:val="false"/>
              </w:rPr>
              <w:t xml:space="preserve">The owner’s decisions are in writing and are recorded (Article 157).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Removing a manager</w:t>
            </w:r>
          </w:p>
        </w:tc>
        <w:tc>
          <w:tcPr>
            <w:tcMar>
              <w:top w:type="dxa" w:w="80"/>
              <w:left w:type="dxa" w:w="100"/>
              <w:bottom w:type="dxa" w:w="80"/>
              <w:right w:type="dxa" w:w="100"/>
            </w:tcMar>
          </w:tcPr>
          <w:p>
            <w:pPr>
              <w:bidi w:val="false"/>
              <w:spacing w:after="0"/>
            </w:pPr>
            <w:r>
              <w:rPr>
                <w:b w:val="false"/>
                <w:sz w:val="18"/>
                <w:szCs w:val="18"/>
                <w:rtl w:val="false"/>
              </w:rPr>
              <w:t xml:space="preserve">Removal of a manager is Article 164. No condition that was not confirmed is added.</w:t>
            </w:r>
            <w:r>
              <w:rPr>
                <w:b w:val="false"/>
                <w:sz w:val="18"/>
                <w:szCs w:val="18"/>
                <w:rtl w:val="false"/>
              </w:rPr>
              <w:t xml:space="preserve"> [1]</w:t>
            </w:r>
          </w:p>
        </w:tc>
      </w:tr>
    </w:tbl>
    <w:p>
      <w:pPr>
        <w:bidi w:val="false"/>
      </w:pPr>
    </w:p>
    <w:p>
      <w:pPr>
        <w:pStyle w:val="Heading1"/>
        <w:pageBreakBefore/>
        <w:bidi w:val="false"/>
      </w:pPr>
      <w:r>
        <w:rPr>
          <w:rtl w:val="false"/>
        </w:rPr>
        <w:t xml:space="preserve">Notes on the United Arab Emirates</w:t>
      </w:r>
    </w:p>
    <w:p>
      <w:pPr>
        <w:bidi w:val="false"/>
      </w:pPr>
      <w:r>
        <w:rPr>
          <w:rtl w:val="false"/>
        </w:rPr>
        <w:t xml:space="preserve">Federal Decree-Law No. 32 of 2021. The majorities for a limited liability company resolution were not confirmed, so this page states no article number.</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Resolution majority</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no fee, and no deadline.</w:t>
            </w:r>
          </w:p>
        </w:tc>
      </w:tr>
    </w:tbl>
    <w:p>
      <w:pPr>
        <w:bidi w:val="false"/>
      </w:pPr>
    </w:p>
    <w:p>
      <w:pPr>
        <w:pStyle w:val="Heading1"/>
        <w:bidi w:val="false"/>
      </w:pPr>
      <w:r>
        <w:rPr>
          <w:rtl w:val="false"/>
        </w:rPr>
        <w:t xml:space="preserve">Bahrain, Qatar, Kuwait and Oman</w:t>
      </w:r>
    </w:p>
    <w:p>
      <w:pPr>
        <w:pStyle w:val="ListParagraph"/>
        <w:numPr>
          <w:ilvl w:val="0"/>
          <w:numId w:val="2"/>
        </w:numPr>
        <w:bidi w:val="false"/>
      </w:pPr>
      <w:r>
        <w:rPr>
          <w:rtl w:val="false"/>
        </w:rPr>
        <w:t xml:space="preserve">Bahrain: under review. No article number, no fee and no deadline.</w:t>
      </w:r>
    </w:p>
    <w:p>
      <w:pPr>
        <w:pStyle w:val="ListParagraph"/>
        <w:numPr>
          <w:ilvl w:val="0"/>
          <w:numId w:val="2"/>
        </w:numPr>
        <w:bidi w:val="false"/>
      </w:pPr>
      <w:r>
        <w:rPr>
          <w:rtl w:val="false"/>
        </w:rPr>
        <w:t xml:space="preserve">Qatar: under review. No article number, no fee and no deadline.</w:t>
      </w:r>
    </w:p>
    <w:p>
      <w:pPr>
        <w:pStyle w:val="ListParagraph"/>
        <w:numPr>
          <w:ilvl w:val="0"/>
          <w:numId w:val="2"/>
        </w:numPr>
        <w:bidi w:val="false"/>
      </w:pPr>
      <w:r>
        <w:rPr>
          <w:rtl w:val="false"/>
        </w:rPr>
        <w:t xml:space="preserve">Kuwait: under review. No article number, no fee and no deadline.</w:t>
      </w:r>
    </w:p>
    <w:p>
      <w:pPr>
        <w:pStyle w:val="ListParagraph"/>
        <w:numPr>
          <w:ilvl w:val="0"/>
          <w:numId w:val="2"/>
        </w:numPr>
        <w:bidi w:val="false"/>
      </w:pPr>
      <w:r>
        <w:rPr>
          <w:rtl w:val="false"/>
        </w:rPr>
        <w:t xml:space="preserve">Oman: under review. No article number, no fee and no deadline.</w:t>
      </w:r>
    </w:p>
    <w:p>
      <w:pPr>
        <w:pStyle w:val="Heading1"/>
        <w:pageBreakBefore/>
        <w:bidi w:val="false"/>
      </w:pPr>
      <w:r>
        <w:rPr>
          <w:rtl w:val="false"/>
        </w:rPr>
        <w:t xml:space="preserve">Annex. Attendance and signature</w:t>
      </w:r>
    </w:p>
    <w:p>
      <w:pPr>
        <w:bidi w:val="false"/>
      </w:pPr>
      <w:r>
        <w:rPr>
          <w:rtl w:val="false"/>
        </w:rPr>
        <w:t xml:space="preserve">For a meeting, write who attended. For a circulation, write who signed. The shares signed are what clause 3 measures.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Name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Shares</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 person or by proxy</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Signature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name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in person / by proxy</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pzkzqh7v1fcance8t4w_t">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https://www.qanu.ai/en/templates/partners-resolution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e0ufnwbhz2wsetrh4f_ay">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UAE Government portal (u.ae), Commercial Companies Law (Federal Decree-Law No. 32 of 2021) </w:t>
      </w:r>
      <w:hyperlink w:history="1" r:id="rIdvjtaienl-ax2n2pymdrfx">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The name and the registration number as on the </w:t>
      </w:r>
      <w:hyperlink w:history="1" r:id="rIduy7md_-gsagotw2fmi6zd">
        <w:r>
          <w:rPr>
            <w:rStyle w:val="Hyperlink"/>
            <w:rtl w:val="false"/>
          </w:rPr>
          <w:t xml:space="preserve">commercial register</w:t>
        </w:r>
      </w:hyperlink>
      <w:r>
        <w:rPr>
          <w:rtl w:val="false"/>
        </w:rPr>
        <w:t xml:space="preserve">, not as on the short form.</w:t>
      </w:r>
    </w:p>
  </w:comment>
  <w:comment w:id="1" w:initials="Q" w:author="Qanu" w:date="2026-10-22T00:00:00.000Z">
    <w:p>
      <w:pPr>
        <w:bidi w:val="false"/>
      </w:pPr>
      <w:r>
        <w:rPr>
          <w:b/>
          <w:bCs/>
          <w:rtl w:val="false"/>
        </w:rPr>
        <w:t xml:space="preserve">Drafting note</w:t>
      </w:r>
    </w:p>
    <w:p>
      <w:pPr>
        <w:bidi w:val="false"/>
      </w:pPr>
      <w:r>
        <w:rPr>
          <w:rtl w:val="false"/>
        </w:rPr>
        <w:t xml:space="preserve">One form. In Saudi Arabia notice is twenty-one days, the meeting is at least yearly and within six months of the year-end, and the minutes go in a register.</w:t>
      </w:r>
      <w:r>
        <w:rPr>
          <w:rtl w:val="false"/>
        </w:rPr>
        <w:t xml:space="preserve"> [1]</w:t>
      </w:r>
      <w:r>
        <w:rPr>
          <w:rtl w:val="false"/>
        </w:rPr>
        <w:t xml:space="preserve"> Circulation needs partners holding more than half the capital, unless the memorandum sets a higher threshold.</w:t>
      </w:r>
      <w:r>
        <w:rPr>
          <w:rtl w:val="false"/>
        </w:rPr>
        <w:t xml:space="preserve"> [1]</w:t>
      </w:r>
    </w:p>
  </w:comment>
  <w:comment w:id="2" w:initials="Q" w:author="Qanu" w:date="2026-10-22T00:00:00.000Z">
    <w:p>
      <w:pPr>
        <w:bidi w:val="false"/>
      </w:pPr>
      <w:r>
        <w:rPr>
          <w:b/>
          <w:bCs/>
          <w:rtl w:val="false"/>
        </w:rPr>
        <w:t xml:space="preserve">Drafting note</w:t>
      </w:r>
    </w:p>
    <w:p>
      <w:pPr>
        <w:bidi w:val="false"/>
      </w:pPr>
      <w:r>
        <w:rPr>
          <w:rtl w:val="false"/>
        </w:rPr>
        <w:t xml:space="preserve">Copy the quorum from the memorandum. An empty bracket is filled from the memorandum, not from a guess.</w:t>
      </w:r>
    </w:p>
  </w:comment>
  <w:comment w:id="3" w:initials="Q" w:author="Qanu" w:date="2026-10-22T00:00:00.000Z">
    <w:p>
      <w:pPr>
        <w:bidi w:val="false"/>
      </w:pPr>
      <w:r>
        <w:rPr>
          <w:b/>
          <w:bCs/>
          <w:rtl w:val="false"/>
        </w:rPr>
        <w:t xml:space="preserve">Drafting note</w:t>
      </w:r>
    </w:p>
    <w:p>
      <w:pPr>
        <w:bidi w:val="false"/>
      </w:pPr>
      <w:r>
        <w:rPr>
          <w:rtl w:val="false"/>
        </w:rPr>
        <w:t xml:space="preserve">Do not add a condition of removal that was not confirmed. The article is the text. This page does not summarise it further.</w:t>
      </w:r>
    </w:p>
  </w:comment>
  <w:comment w:id="4" w:initials="Q" w:author="Qanu" w:date="2026-10-22T00:00:00.000Z">
    <w:p>
      <w:pPr>
        <w:bidi w:val="false"/>
      </w:pPr>
      <w:r>
        <w:rPr>
          <w:b/>
          <w:bCs/>
          <w:rtl w:val="false"/>
        </w:rPr>
        <w:t xml:space="preserve">Drafting note</w:t>
      </w:r>
    </w:p>
    <w:p>
      <w:pPr>
        <w:bidi w:val="false"/>
      </w:pPr>
      <w:r>
        <w:rPr>
          <w:rtl w:val="false"/>
        </w:rPr>
        <w:t xml:space="preserve">The new text in full, not “as attached” unless the attachment is there. See the </w:t>
      </w:r>
      <w:hyperlink w:history="1" r:id="rIdu8byamr0-ou5mblpqlm1e">
        <w:r>
          <w:rPr>
            <w:rStyle w:val="Hyperlink"/>
            <w:rtl w:val="false"/>
          </w:rPr>
          <w:t xml:space="preserve">memorandum template</w:t>
        </w:r>
      </w:hyperlink>
      <w:r>
        <w:rPr>
          <w:rtl w:val="false"/>
        </w:rPr>
        <w:t xml:space="preserve"> and </w:t>
      </w:r>
      <w:hyperlink w:history="1" r:id="rIdhd50afmm8s4wk32ypbzjq">
        <w:r>
          <w:rPr>
            <w:rStyle w:val="Hyperlink"/>
            <w:rtl w:val="false"/>
          </w:rPr>
          <w:t xml:space="preserve">the difference between the memorandum and the articles</w:t>
        </w:r>
      </w:hyperlink>
      <w:r>
        <w:rPr>
          <w:rtl w:val="false"/>
        </w:rPr>
        <w:t xml:space="preserve">.</w:t>
      </w:r>
    </w:p>
  </w:comment>
  <w:comment w:id="5" w:initials="Q" w:author="Qanu" w:date="2026-10-22T00:00:00.000Z">
    <w:p>
      <w:pPr>
        <w:bidi w:val="false"/>
      </w:pPr>
      <w:r>
        <w:rPr>
          <w:b/>
          <w:bCs/>
          <w:rtl w:val="false"/>
        </w:rPr>
        <w:t xml:space="preserve">Drafting note</w:t>
      </w:r>
    </w:p>
    <w:p>
      <w:pPr>
        <w:bidi w:val="false"/>
      </w:pPr>
      <w:r>
        <w:rPr>
          <w:rtl w:val="false"/>
        </w:rPr>
        <w:t xml:space="preserve">The amount comes from the accounts the partners approved. This page does not compute distributable profit.</w:t>
      </w:r>
    </w:p>
  </w:comment>
  <w:comment w:id="6" w:initials="Q" w:author="Qanu" w:date="2026-10-22T00:00:00.000Z">
    <w:p>
      <w:pPr>
        <w:bidi w:val="false"/>
      </w:pPr>
      <w:r>
        <w:rPr>
          <w:b/>
          <w:bCs/>
          <w:rtl w:val="false"/>
        </w:rPr>
        <w:t xml:space="preserve">Drafting note</w:t>
      </w:r>
    </w:p>
    <w:p>
      <w:pPr>
        <w:bidi w:val="false"/>
      </w:pPr>
      <w:r>
        <w:rPr>
          <w:rtl w:val="false"/>
        </w:rPr>
        <w:t xml:space="preserve">City and activity. Registering the branch is a step with the authority. Signature alone does not do it.</w:t>
      </w:r>
    </w:p>
  </w:comment>
  <w:comment w:id="7" w:initials="Q" w:author="Qanu" w:date="2026-10-22T00:00:00.000Z">
    <w:p>
      <w:pPr>
        <w:bidi w:val="false"/>
      </w:pPr>
      <w:r>
        <w:rPr>
          <w:b/>
          <w:bCs/>
          <w:rtl w:val="false"/>
        </w:rPr>
        <w:t xml:space="preserve">Drafting note</w:t>
      </w:r>
    </w:p>
    <w:p>
      <w:pPr>
        <w:bidi w:val="false"/>
      </w:pPr>
      <w:r>
        <w:rPr>
          <w:rtl w:val="false"/>
        </w:rPr>
        <w:t xml:space="preserve">The resolution records the partners’ approval where one is required. The sale of the share is another contract. This page states no pre-emption period.</w:t>
      </w:r>
    </w:p>
  </w:comment>
  <w:comment w:id="8" w:initials="Q" w:author="Qanu" w:date="2026-10-22T00:00:00.000Z">
    <w:p>
      <w:pPr>
        <w:bidi w:val="false"/>
      </w:pPr>
      <w:r>
        <w:rPr>
          <w:b/>
          <w:bCs/>
          <w:rtl w:val="false"/>
        </w:rPr>
        <w:t xml:space="preserve">Drafting note</w:t>
      </w:r>
    </w:p>
    <w:p>
      <w:pPr>
        <w:bidi w:val="false"/>
      </w:pPr>
      <w:r>
        <w:rPr>
          <w:rtl w:val="false"/>
        </w:rPr>
        <w:t xml:space="preserve">The liquidator’s name and the limit of the powers. The text reviewed here states no statutory period for the liquidation.</w:t>
      </w:r>
    </w:p>
  </w:comment>
  <w:comment w:id="9" w:initials="Q" w:author="Qanu" w:date="2026-10-22T00:00:00.000Z">
    <w:p>
      <w:pPr>
        <w:bidi w:val="false"/>
      </w:pPr>
      <w:r>
        <w:rPr>
          <w:b/>
          <w:bCs/>
          <w:rtl w:val="false"/>
        </w:rPr>
        <w:t xml:space="preserve">Drafting note</w:t>
      </w:r>
    </w:p>
    <w:p>
      <w:pPr>
        <w:bidi w:val="false"/>
      </w:pPr>
      <w:r>
        <w:rPr>
          <w:rtl w:val="false"/>
        </w:rPr>
        <w:t xml:space="preserve">A one-person company: the decision is in writing and is recorded. There is no partners’ assembly.</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https://www.qanu.ai/en/templates/partners-resolution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https://www.qanu.ai/en/templates/partners-resolution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uy7md_-gsagotw2fmi6zd" Type="http://schemas.openxmlformats.org/officeDocument/2006/relationships/hyperlink" Target="https://www.qanu.ai/en/glossary/commercial-registration" TargetMode="External"/><Relationship Id="rIdu8byamr0-ou5mblpqlm1e" Type="http://schemas.openxmlformats.org/officeDocument/2006/relationships/hyperlink" Target="https://www.qanu.ai/en/templates/memorandum-of-association" TargetMode="External"/><Relationship Id="rIdhd50afmm8s4wk32ypbzjq" Type="http://schemas.openxmlformats.org/officeDocument/2006/relationships/hyperlink" Target="https://www.qanu.ai/en/guides/memorandum-vs-articles-of-associ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myoifrblwhdmzlklrod_d" Type="http://schemas.openxmlformats.org/officeDocument/2006/relationships/hyperlink" Target="https://laws.boe.gov.sa/BoeLaws/Laws/LawDetails/a8376aea-1bc3-49d4-9027-aed900b555af/1" TargetMode="External"/><Relationship Id="rIdxp10cj2a6oq4u1yyjdr4p" Type="http://schemas.openxmlformats.org/officeDocument/2006/relationships/hyperlink" Target="https://u.ae/en/information-and-services/business/Doing-business/doing-business-on-the-mainland/full-foreign-ownership-of-commercial-companies" TargetMode="External"/><Relationship Id="rIdpzkzqh7v1fcance8t4w_t" Type="http://schemas.openxmlformats.org/officeDocument/2006/relationships/hyperlink" Target="https://creativecommons.org/licenses/by/4.0/deed.en" TargetMode="External"/><Relationship Id="rIde0ufnwbhz2wsetrh4f_ay" Type="http://schemas.openxmlformats.org/officeDocument/2006/relationships/hyperlink" Target="https://laws.boe.gov.sa/BoeLaws/Laws/LawDetails/a8376aea-1bc3-49d4-9027-aed900b555af/1" TargetMode="External"/><Relationship Id="rIdvjtaienl-ax2n2pymdrfx" Type="http://schemas.openxmlformats.org/officeDocument/2006/relationships/hyperlink" Target="https://u.ae/en/information-and-services/business/Doing-business/doing-business-on-the-mainland/full-foreign-ownership-of-commercial-companies"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resolution</dc:title>
  <dc:creator>Qanu</dc:creator>
  <cp:keywords>Partners' resolution, General assembly, Limited liability company,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2026-10-22T19:44:50.637Z</dcterms:created>
  <dcterms:modified xsi:type="dcterms:W3CDTF">2026-10-22T19:44:50.637Z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https://www.qanu.ai/en/templates/partners-resolution</vt:lpwstr>
  </property>
</Properties>
</file>