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هذا العقد لا يُنشئ شركة.</w:t>
      </w:r>
      <w:r>
        <w:rPr>
          <w:rtl/>
        </w:rPr>
        <w:t xml:space="preserve"> إذا رغبتم في ممارسة النشاط من خلال شركة فيلزم تأسيسها وفق نظام الشركات في دولتكم وقيدها في </w:t>
      </w:r>
      <w:hyperlink w:history="1" r:id="rId2hoot69wx34wets4eg9ls">
        <w:r>
          <w:rPr>
            <w:rStyle w:val="Hyperlink"/>
            <w:rtl/>
          </w:rPr>
          <w:t xml:space="preserve">السجل التجاري</w:t>
        </w:r>
      </w:hyperlink>
      <w:r>
        <w:rPr>
          <w:rtl/>
        </w:rPr>
        <w:t xml:space="preserve">. وفي المملكة العربية السعودية يحدّد نظام الشركات، الصادر بالمرسوم الملكي رقم (م/132) وتاريخ 1443/12/1هـ، أشكال الشركات، ومنها شركة التضامن وشركة التوصية البسيطة وشركة المساهمة وشركة المساهمة المبسطة والشركة ذات المسؤولية المحدودة. وعلى المؤسسين الذين يريدون شركة أن يؤسّسوها وفق هذا النظام.</w:t>
      </w:r>
      <w:r>
        <w:rPr>
          <w:rtl/>
        </w:rPr>
        <w:t xml:space="preserve"> [1]</w:t>
      </w:r>
      <w:r>
        <w:rPr>
          <w:rtl/>
        </w:rPr>
        <w:t xml:space="preserve"> وفي الإمارات العربية المتحدة تخضع الشركات لقانون الشركات التجارية الصادر بالمرسوم بقانون اتحادي رقم (32) لسنة 2021.</w:t>
      </w:r>
      <w:r>
        <w:rPr>
          <w:rtl/>
        </w:rPr>
        <w:t xml:space="preserve"> [2]</w:t>
      </w:r>
      <w:r>
        <w:rPr>
          <w:rtl/>
        </w:rPr>
        <w:t xml:space="preserve"> يوثّق هذا النموذج تفاهم الشريكين من حصص وأرباح وإدارة وتخارج، ويمكن استخدامه اتفاقاً بين المؤسسين قبل التأسيس. أما </w:t>
      </w:r>
      <w:hyperlink w:history="1" r:id="rIdws8rnado5tgszovijwnoe">
        <w:r>
          <w:rPr>
            <w:rStyle w:val="Hyperlink"/>
            <w:rtl/>
          </w:rPr>
          <w:t xml:space="preserve">عقد التأسيس</w:t>
        </w:r>
      </w:hyperlink>
      <w:r>
        <w:rPr>
          <w:rtl/>
        </w:rPr>
        <w:t xml:space="preserve"> فمستند آخر يُنشئ الشركة بعد قيدها.</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الشركات: </w:t>
      </w:r>
      <w:hyperlink w:history="1" r:id="rIdunnuxz3tdqj4oms-ochxd">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الشركات التجارية في الإمارات: </w:t>
      </w:r>
      <w:hyperlink w:history="1" r:id="rIdal2vnsoec5q1snfasrgmt">
        <w:r>
          <w:rPr>
            <w:rStyle w:val="Hyperlink"/>
            <w:sz w:val="17"/>
            <w:szCs w:val="17"/>
          </w:rPr>
          <w:t xml:space="preserve">‪https://u.ae/en/information-and-services/business/Doing-business/doing-business-on-the-mainland/full-foreign-ownership-of-commercial-companies‬</w:t>
        </w:r>
      </w:hyperlink>
    </w:p>
    <w:p>
      <w:pPr>
        <w:bidi/>
        <w:spacing w:after="240"/>
      </w:pPr>
    </w:p>
    <w:p>
      <w:pPr>
        <w:pStyle w:val="Title"/>
        <w:bidi/>
      </w:pPr>
      <w:r>
        <w:rPr>
          <w:rtl/>
        </w:rPr>
        <w:t xml:space="preserve">عقد شراكة</w:t>
      </w:r>
    </w:p>
    <w:p>
      <w:pPr>
        <w:bidi/>
        <w:spacing w:after="240"/>
      </w:pPr>
      <w:r>
        <w:rPr>
          <w:color w:val="444444"/>
          <w:rtl/>
        </w:rPr>
        <w:t xml:space="preserve">اتفاق تعاقدي بين شريكين في دول الخليج: الحصص، وتوزيع الأرباح، والإدارة، والتخارج. ويصلح اتفاقاً بين المؤسسين قبل التأسيس. وهو لا يُنشئ شركة.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الخيارات التي لا تنطبق.</w:t>
      </w:r>
    </w:p>
    <w:p>
      <w:pPr>
        <w:pStyle w:val="Heading1"/>
        <w:bidi/>
      </w:pPr>
      <w:commentRangeStart w:id="0"/>
      <w:r>
        <w:rPr>
          <w:rtl/>
        </w:rPr>
        <w:t xml:space="preserve">البند (1): الأطراف</w:t>
      </w:r>
      <w:commentRangeEnd w:id="0"/>
      <w:r>
        <w:rPr>
          <w:rtl/>
        </w:rPr>
        <w:commentReference w:id="0"/>
      </w:r>
    </w:p>
    <w:p>
      <w:pPr>
        <w:bidi/>
      </w:pPr>
      <w:r>
        <w:rPr>
          <w:highlight w:val="yellow"/>
          <w:rtl/>
        </w:rPr>
        <w:t xml:space="preserve">[</w:t>
      </w:r>
      <w:r>
        <w:rPr>
          <w:highlight w:val="yellow"/>
          <w:rtl/>
        </w:rPr>
        <w:t xml:space="preserve">الشريك الأول: الاسم، رقم الهوية/السجل التجاري، العنوان</w:t>
      </w:r>
      <w:r>
        <w:rPr>
          <w:highlight w:val="yellow"/>
          <w:rtl/>
        </w:rPr>
        <w:t xml:space="preserve">]</w:t>
      </w:r>
      <w:r>
        <w:rPr>
          <w:rtl/>
        </w:rPr>
        <w:t xml:space="preserve"> و</w:t>
      </w:r>
      <w:r>
        <w:rPr>
          <w:highlight w:val="yellow"/>
          <w:rtl/>
        </w:rPr>
        <w:t xml:space="preserve">[</w:t>
      </w:r>
      <w:r>
        <w:rPr>
          <w:highlight w:val="yellow"/>
          <w:rtl/>
        </w:rPr>
        <w:t xml:space="preserve">الشريك الثاني: الاسم، رقم الهوية/السجل التجاري، العنوان</w:t>
      </w:r>
      <w:r>
        <w:rPr>
          <w:highlight w:val="yellow"/>
          <w:rtl/>
        </w:rPr>
        <w:t xml:space="preserve">]</w:t>
      </w:r>
      <w:r>
        <w:rPr>
          <w:rtl/>
        </w:rPr>
        <w:t xml:space="preserve"> (ويُسمّى كلٌّ منهما «الشريك»).</w:t>
      </w:r>
    </w:p>
    <w:p>
      <w:pPr>
        <w:pStyle w:val="Heading1"/>
        <w:bidi/>
      </w:pPr>
      <w:commentRangeStart w:id="1"/>
      <w:r>
        <w:rPr>
          <w:rtl/>
        </w:rPr>
        <w:t xml:space="preserve">البند (2): الغرض</w:t>
      </w:r>
      <w:commentRangeEnd w:id="1"/>
      <w:r>
        <w:rPr>
          <w:rtl/>
        </w:rPr>
        <w:commentReference w:id="1"/>
      </w:r>
    </w:p>
    <w:p>
      <w:pPr>
        <w:bidi/>
      </w:pPr>
      <w:r>
        <w:rPr>
          <w:rtl/>
        </w:rPr>
        <w:t xml:space="preserve">يتعاون الشريكان على </w:t>
      </w:r>
      <w:r>
        <w:rPr>
          <w:highlight w:val="yellow"/>
          <w:rtl/>
        </w:rPr>
        <w:t xml:space="preserve">[</w:t>
      </w:r>
      <w:r>
        <w:rPr>
          <w:highlight w:val="yellow"/>
          <w:rtl/>
        </w:rPr>
        <w:t xml:space="preserve">وصف النشاط/المشروع</w:t>
      </w:r>
      <w:r>
        <w:rPr>
          <w:highlight w:val="yellow"/>
          <w:rtl/>
        </w:rPr>
        <w:t xml:space="preserve">]</w:t>
      </w:r>
      <w:r>
        <w:rPr>
          <w:rtl/>
        </w:rPr>
        <w:t xml:space="preserve"> في </w:t>
      </w:r>
      <w:r>
        <w:rPr>
          <w:highlight w:val="yellow"/>
          <w:rtl/>
        </w:rPr>
        <w:t xml:space="preserve">[</w:t>
      </w:r>
      <w:r>
        <w:rPr>
          <w:highlight w:val="yellow"/>
          <w:rtl/>
        </w:rPr>
        <w:t xml:space="preserve">النطاق الجغرافي</w:t>
      </w:r>
      <w:r>
        <w:rPr>
          <w:highlight w:val="yellow"/>
          <w:rtl/>
        </w:rPr>
        <w:t xml:space="preserve">]</w:t>
      </w:r>
      <w:r>
        <w:rPr>
          <w:rtl/>
        </w:rPr>
        <w:t xml:space="preserve">.</w:t>
      </w:r>
    </w:p>
    <w:p>
      <w:pPr>
        <w:pStyle w:val="Heading1"/>
        <w:bidi/>
      </w:pPr>
      <w:commentRangeStart w:id="2"/>
      <w:r>
        <w:rPr>
          <w:rtl/>
        </w:rPr>
        <w:t xml:space="preserve">البند (3): طبيعة العلاقة</w:t>
      </w:r>
      <w:commentRangeEnd w:id="2"/>
      <w:r>
        <w:rPr>
          <w:rtl/>
        </w:rPr>
        <w:commentReference w:id="2"/>
      </w:r>
    </w:p>
    <w:p>
      <w:pPr>
        <w:bidi/>
      </w:pPr>
      <w:r>
        <w:rPr>
          <w:rtl/>
        </w:rPr>
        <w:t xml:space="preserve">هذا العقد اتفاق تعاقدي بين الشريكين، ولا يُنشئ بذاته شركة مقيدة في السجل التجاري.</w:t>
      </w:r>
    </w:p>
    <w:p>
      <w:pPr>
        <w:bidi/>
      </w:pPr>
      <w:r>
        <w:rPr>
          <w:b/>
          <w:bCs/>
          <w:rtl/>
        </w:rPr>
        <w:t xml:space="preserve">خيار:</w:t>
      </w:r>
      <w:r>
        <w:rPr>
          <w:rtl/>
        </w:rPr>
        <w:t xml:space="preserve"> يعتزم الشريكان تأسيس شركة </w:t>
      </w:r>
      <w:r>
        <w:rPr>
          <w:highlight w:val="yellow"/>
          <w:rtl/>
        </w:rPr>
        <w:t xml:space="preserve">[</w:t>
      </w:r>
      <w:r>
        <w:rPr>
          <w:highlight w:val="yellow"/>
          <w:rtl/>
        </w:rPr>
        <w:t xml:space="preserve">الشكل</w:t>
      </w:r>
      <w:r>
        <w:rPr>
          <w:highlight w:val="yellow"/>
          <w:rtl/>
        </w:rPr>
        <w:t xml:space="preserve">]</w:t>
      </w:r>
      <w:r>
        <w:rPr>
          <w:rtl/>
        </w:rPr>
        <w:t xml:space="preserve"> في موعد أقصاه </w:t>
      </w:r>
      <w:r>
        <w:rPr>
          <w:highlight w:val="yellow"/>
          <w:rtl/>
        </w:rPr>
        <w:t xml:space="preserve">[</w:t>
      </w:r>
      <w:r>
        <w:rPr>
          <w:highlight w:val="yellow"/>
          <w:rtl/>
        </w:rPr>
        <w:t xml:space="preserve">التاريخ</w:t>
      </w:r>
      <w:r>
        <w:rPr>
          <w:highlight w:val="yellow"/>
          <w:rtl/>
        </w:rPr>
        <w:t xml:space="preserve">]</w:t>
      </w:r>
      <w:r>
        <w:rPr>
          <w:rtl/>
        </w:rPr>
        <w:t xml:space="preserve">، على أن تُضمَّن الشروط المتفق عليها في عقد تأسيسها.</w:t>
      </w:r>
    </w:p>
    <w:p>
      <w:pPr>
        <w:pStyle w:val="Heading1"/>
        <w:bidi/>
      </w:pPr>
      <w:commentRangeStart w:id="3"/>
      <w:r>
        <w:rPr>
          <w:rtl/>
        </w:rPr>
        <w:t xml:space="preserve">البند (4): الحصص</w:t>
      </w:r>
      <w:commentRangeEnd w:id="3"/>
      <w:r>
        <w:rPr>
          <w:rtl/>
        </w:rPr>
        <w:commentReference w:id="3"/>
      </w:r>
    </w:p>
    <w:p>
      <w:pPr>
        <w:bidi/>
      </w:pPr>
      <w:r>
        <w:rPr>
          <w:rtl/>
        </w:rPr>
        <w:t xml:space="preserve">يقدّم كل شريك: </w:t>
      </w:r>
      <w:r>
        <w:rPr>
          <w:highlight w:val="yellow"/>
          <w:rtl/>
        </w:rPr>
        <w:t xml:space="preserve">[</w:t>
      </w:r>
      <w:r>
        <w:rPr>
          <w:highlight w:val="yellow"/>
          <w:rtl/>
        </w:rPr>
        <w:t xml:space="preserve">حصة نقدية/عينية/عمل</w:t>
      </w:r>
      <w:r>
        <w:rPr>
          <w:highlight w:val="yellow"/>
          <w:rtl/>
        </w:rPr>
        <w:t xml:space="preserve">]</w:t>
      </w:r>
      <w:r>
        <w:rPr>
          <w:rtl/>
        </w:rPr>
        <w:t xml:space="preserve"> تُقدَّر قيمتها بـ</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4"/>
      <w:r>
        <w:rPr>
          <w:rtl/>
        </w:rPr>
        <w:t xml:space="preserve">البند (5): الأرباح والخسائر</w:t>
      </w:r>
      <w:commentRangeEnd w:id="4"/>
      <w:r>
        <w:rPr>
          <w:rtl/>
        </w:rPr>
        <w:commentReference w:id="4"/>
      </w:r>
    </w:p>
    <w:p>
      <w:pPr>
        <w:bidi/>
      </w:pPr>
      <w:r>
        <w:rPr>
          <w:rtl/>
        </w:rPr>
        <w:t xml:space="preserve">تُوزَّع الأرباح والخسائر بنسبة </w:t>
      </w:r>
      <w:r>
        <w:rPr>
          <w:highlight w:val="yellow"/>
          <w:rtl/>
        </w:rPr>
        <w:t xml:space="preserve">[</w:t>
      </w:r>
      <w:r>
        <w:rPr>
          <w:highlight w:val="yellow"/>
          <w:rtl/>
        </w:rPr>
        <w:t xml:space="preserve">●٪ / ●٪</w:t>
      </w:r>
      <w:r>
        <w:rPr>
          <w:highlight w:val="yellow"/>
          <w:rtl/>
        </w:rPr>
        <w:t xml:space="preserve">]</w:t>
      </w:r>
      <w:r>
        <w:rPr>
          <w:rtl/>
        </w:rPr>
        <w:t xml:space="preserve">.</w:t>
      </w:r>
    </w:p>
    <w:p>
      <w:pPr>
        <w:pStyle w:val="Heading1"/>
        <w:bidi/>
      </w:pPr>
      <w:commentRangeStart w:id="5"/>
      <w:r>
        <w:rPr>
          <w:rtl/>
        </w:rPr>
        <w:t xml:space="preserve">البند (6): الإدارة واتخاذ القرار</w:t>
      </w:r>
      <w:commentRangeEnd w:id="5"/>
      <w:r>
        <w:rPr>
          <w:rtl/>
        </w:rPr>
        <w:commentReference w:id="5"/>
      </w:r>
    </w:p>
    <w:p>
      <w:pPr>
        <w:bidi/>
      </w:pPr>
      <w:r>
        <w:rPr>
          <w:rtl/>
        </w:rPr>
        <w:t xml:space="preserve">يتولّى </w:t>
      </w:r>
      <w:r>
        <w:rPr>
          <w:highlight w:val="yellow"/>
          <w:rtl/>
        </w:rPr>
        <w:t xml:space="preserve">[</w:t>
      </w:r>
      <w:r>
        <w:rPr>
          <w:highlight w:val="yellow"/>
          <w:rtl/>
        </w:rPr>
        <w:t xml:space="preserve">الشريك/المدير</w:t>
      </w:r>
      <w:r>
        <w:rPr>
          <w:highlight w:val="yellow"/>
          <w:rtl/>
        </w:rPr>
        <w:t xml:space="preserve">]</w:t>
      </w:r>
      <w:r>
        <w:rPr>
          <w:rtl/>
        </w:rPr>
        <w:t xml:space="preserve"> الإدارة اليومية، وتتطلّب القرارات الآتية موافقة كتابية بالإجماع: </w:t>
      </w:r>
      <w:r>
        <w:rPr>
          <w:highlight w:val="yellow"/>
          <w:rtl/>
        </w:rPr>
        <w:t xml:space="preserve">[</w:t>
      </w:r>
      <w:r>
        <w:rPr>
          <w:highlight w:val="yellow"/>
          <w:rtl/>
        </w:rPr>
        <w:t xml:space="preserve">القائمة</w:t>
      </w:r>
      <w:r>
        <w:rPr>
          <w:highlight w:val="yellow"/>
          <w:rtl/>
        </w:rPr>
        <w:t xml:space="preserve">]</w:t>
      </w:r>
      <w:r>
        <w:rPr>
          <w:rtl/>
        </w:rPr>
        <w:t xml:space="preserve">.</w:t>
      </w:r>
    </w:p>
    <w:p>
      <w:pPr>
        <w:pStyle w:val="Heading1"/>
        <w:bidi/>
      </w:pPr>
      <w:r>
        <w:rPr>
          <w:rtl/>
        </w:rPr>
        <w:t xml:space="preserve">البند (7): الحسابات</w:t>
      </w:r>
    </w:p>
    <w:p>
      <w:pPr>
        <w:bidi/>
      </w:pPr>
      <w:r>
        <w:rPr>
          <w:rtl/>
        </w:rPr>
        <w:t xml:space="preserve">تُمسك دفاتر وحساب بنكي مستقل </w:t>
      </w:r>
      <w:r>
        <w:rPr>
          <w:highlight w:val="yellow"/>
          <w:rtl/>
        </w:rPr>
        <w:t xml:space="preserve">[</w:t>
      </w:r>
      <w:r>
        <w:rPr>
          <w:highlight w:val="yellow"/>
          <w:rtl/>
        </w:rPr>
        <w:t xml:space="preserve">●</w:t>
      </w:r>
      <w:r>
        <w:rPr>
          <w:highlight w:val="yellow"/>
          <w:rtl/>
        </w:rPr>
        <w:t xml:space="preserve">]</w:t>
      </w:r>
      <w:r>
        <w:rPr>
          <w:rtl/>
        </w:rPr>
        <w:t xml:space="preserve">، ولكل شريك حق الاطلاع عليها بإخطار معقول.</w:t>
      </w:r>
    </w:p>
    <w:p>
      <w:pPr>
        <w:pStyle w:val="Heading1"/>
        <w:bidi/>
      </w:pPr>
      <w:commentRangeStart w:id="6"/>
      <w:r>
        <w:rPr>
          <w:rtl/>
        </w:rPr>
        <w:t xml:space="preserve">البند (8): السرية وعدم المنافسة</w:t>
      </w:r>
      <w:commentRangeEnd w:id="6"/>
      <w:r>
        <w:rPr>
          <w:rtl/>
        </w:rPr>
        <w:commentReference w:id="6"/>
      </w:r>
    </w:p>
    <w:p>
      <w:pPr>
        <w:bidi/>
      </w:pPr>
      <w:r>
        <w:rPr>
          <w:rtl/>
        </w:rPr>
        <w:t xml:space="preserve">يحفظ كل شريك سرية معلومات الآخر، ولا يستخدمها إلا لتحقيق غرض هذا العقد.</w:t>
      </w:r>
    </w:p>
    <w:p>
      <w:pPr>
        <w:bidi/>
      </w:pPr>
      <w:r>
        <w:rPr>
          <w:b/>
          <w:bCs/>
          <w:rtl/>
        </w:rPr>
        <w:t xml:space="preserve">خيار:</w:t>
      </w:r>
      <w:r>
        <w:rPr>
          <w:rtl/>
        </w:rPr>
        <w:t xml:space="preserve"> يمتنع كل شريك عن أي نشاط منافس طوال مدة العقد ولمدة </w:t>
      </w:r>
      <w:r>
        <w:rPr>
          <w:highlight w:val="yellow"/>
          <w:rtl/>
        </w:rPr>
        <w:t xml:space="preserve">[</w:t>
      </w:r>
      <w:r>
        <w:rPr>
          <w:highlight w:val="yellow"/>
          <w:rtl/>
        </w:rPr>
        <w:t xml:space="preserve">●</w:t>
      </w:r>
      <w:r>
        <w:rPr>
          <w:highlight w:val="yellow"/>
          <w:rtl/>
        </w:rPr>
        <w:t xml:space="preserve">]</w:t>
      </w:r>
      <w:r>
        <w:rPr>
          <w:rtl/>
        </w:rPr>
        <w:t xml:space="preserve"> شهراً بعد انتهائه داخل </w:t>
      </w:r>
      <w:r>
        <w:rPr>
          <w:highlight w:val="yellow"/>
          <w:rtl/>
        </w:rPr>
        <w:t xml:space="preserve">[</w:t>
      </w:r>
      <w:r>
        <w:rPr>
          <w:highlight w:val="yellow"/>
          <w:rtl/>
        </w:rPr>
        <w:t xml:space="preserve">النطاق</w:t>
      </w:r>
      <w:r>
        <w:rPr>
          <w:highlight w:val="yellow"/>
          <w:rtl/>
        </w:rPr>
        <w:t xml:space="preserve">]</w:t>
      </w:r>
      <w:r>
        <w:rPr>
          <w:rtl/>
        </w:rPr>
        <w:t xml:space="preserve">.</w:t>
      </w:r>
    </w:p>
    <w:p>
      <w:pPr>
        <w:pStyle w:val="Heading1"/>
        <w:bidi/>
      </w:pPr>
      <w:r>
        <w:rPr>
          <w:rtl/>
        </w:rPr>
        <w:t xml:space="preserve">البند (9): التنازل وحق الأولوية</w:t>
      </w:r>
    </w:p>
    <w:p>
      <w:pPr>
        <w:bidi/>
      </w:pPr>
      <w:r>
        <w:rPr>
          <w:rtl/>
        </w:rPr>
        <w:t xml:space="preserve">لا يجوز لأي شريك التنازل عن حصته إلا بموافقة كتابية مسبقة من الآخر، وللشريك الآخر حق الأولوية في شرائها بالشروط المعروضة على الغير.</w:t>
      </w:r>
    </w:p>
    <w:p>
      <w:pPr>
        <w:pStyle w:val="Heading1"/>
        <w:bidi/>
      </w:pPr>
      <w:commentRangeStart w:id="7"/>
      <w:r>
        <w:rPr>
          <w:rtl/>
        </w:rPr>
        <w:t xml:space="preserve">البند (10): التخارج والوفاة وفقد الأهلية</w:t>
      </w:r>
      <w:commentRangeEnd w:id="7"/>
      <w:r>
        <w:rPr>
          <w:rtl/>
        </w:rPr>
        <w:commentReference w:id="7"/>
      </w:r>
    </w:p>
    <w:p>
      <w:pPr>
        <w:bidi/>
      </w:pPr>
      <w:r>
        <w:rPr>
          <w:highlight w:val="yellow"/>
          <w:rtl/>
        </w:rPr>
        <w:t xml:space="preserve">[</w:t>
      </w:r>
      <w:r>
        <w:rPr>
          <w:highlight w:val="yellow"/>
          <w:rtl/>
        </w:rPr>
        <w:t xml:space="preserve">طريقة التقييم وإجراءات الشراء.</w:t>
      </w:r>
      <w:r>
        <w:rPr>
          <w:highlight w:val="yellow"/>
          <w:rtl/>
        </w:rPr>
        <w:t xml:space="preserve">]</w:t>
      </w:r>
      <w:r>
        <w:rPr>
          <w:rtl/>
        </w:rPr>
        <w:t xml:space="preserve"> يجوز للشريك أن يتخارج بإخطار كتابي قبل </w:t>
      </w:r>
      <w:r>
        <w:rPr>
          <w:highlight w:val="yellow"/>
          <w:rtl/>
        </w:rPr>
        <w:t xml:space="preserve">[</w:t>
      </w:r>
      <w:r>
        <w:rPr>
          <w:highlight w:val="yellow"/>
          <w:rtl/>
        </w:rPr>
        <w:t xml:space="preserve">●</w:t>
      </w:r>
      <w:r>
        <w:rPr>
          <w:highlight w:val="yellow"/>
          <w:rtl/>
        </w:rPr>
        <w:t xml:space="preserve">]</w:t>
      </w:r>
      <w:r>
        <w:rPr>
          <w:rtl/>
        </w:rPr>
        <w:t xml:space="preserve"> يوماً، وللشريك الآخر شراء حصته بـ</w:t>
      </w:r>
      <w:r>
        <w:rPr>
          <w:highlight w:val="yellow"/>
          <w:rtl/>
        </w:rPr>
        <w:t xml:space="preserve">[</w:t>
      </w:r>
      <w:r>
        <w:rPr>
          <w:highlight w:val="yellow"/>
          <w:rtl/>
        </w:rPr>
        <w:t xml:space="preserve">طريقة التقييم</w:t>
      </w:r>
      <w:r>
        <w:rPr>
          <w:highlight w:val="yellow"/>
          <w:rtl/>
        </w:rPr>
        <w:t xml:space="preserve">]</w:t>
      </w:r>
      <w:r>
        <w:rPr>
          <w:rtl/>
        </w:rPr>
        <w:t xml:space="preserve"> خلال </w:t>
      </w:r>
      <w:r>
        <w:rPr>
          <w:highlight w:val="yellow"/>
          <w:rtl/>
        </w:rPr>
        <w:t xml:space="preserve">[</w:t>
      </w:r>
      <w:r>
        <w:rPr>
          <w:highlight w:val="yellow"/>
          <w:rtl/>
        </w:rPr>
        <w:t xml:space="preserve">●</w:t>
      </w:r>
      <w:r>
        <w:rPr>
          <w:highlight w:val="yellow"/>
          <w:rtl/>
        </w:rPr>
        <w:t xml:space="preserve">]</w:t>
      </w:r>
      <w:r>
        <w:rPr>
          <w:rtl/>
        </w:rPr>
        <w:t xml:space="preserve"> يوماً من الإخطار.</w:t>
      </w:r>
    </w:p>
    <w:p>
      <w:pPr>
        <w:pStyle w:val="Heading1"/>
        <w:bidi/>
      </w:pPr>
      <w:r>
        <w:rPr>
          <w:rtl/>
        </w:rPr>
        <w:t xml:space="preserve">البند (11): المدة والانقضاء</w:t>
      </w:r>
    </w:p>
    <w:p>
      <w:pPr>
        <w:bidi/>
      </w:pPr>
      <w:r>
        <w:rPr>
          <w:rtl/>
        </w:rPr>
        <w:t xml:space="preserve">يسري هذا العقد لمدة </w:t>
      </w:r>
      <w:r>
        <w:rPr>
          <w:highlight w:val="yellow"/>
          <w:rtl/>
        </w:rPr>
        <w:t xml:space="preserve">[</w:t>
      </w:r>
      <w:r>
        <w:rPr>
          <w:highlight w:val="yellow"/>
          <w:rtl/>
        </w:rPr>
        <w:t xml:space="preserve">المدة</w:t>
      </w:r>
      <w:r>
        <w:rPr>
          <w:highlight w:val="yellow"/>
          <w:rtl/>
        </w:rPr>
        <w:t xml:space="preserve">]</w:t>
      </w:r>
      <w:r>
        <w:rPr>
          <w:rtl/>
        </w:rPr>
        <w:t xml:space="preserve">. وعند الانقضاء تُصفّى الأموال وتُوزَّع بعد سداد الديون وفق نسب الأرباح المبينة في البند (5).</w:t>
      </w:r>
    </w:p>
    <w:p>
      <w:pPr>
        <w:pStyle w:val="Heading1"/>
        <w:bidi/>
      </w:pPr>
      <w:commentRangeStart w:id="8"/>
      <w:r>
        <w:rPr>
          <w:rtl/>
        </w:rPr>
        <w:t xml:space="preserve">البند (12): تسوية النزاعات</w:t>
      </w:r>
      <w:commentRangeEnd w:id="8"/>
      <w:r>
        <w:rPr>
          <w:rtl/>
        </w:rPr>
        <w:commentReference w:id="8"/>
      </w:r>
    </w:p>
    <w:p>
      <w:pPr>
        <w:bidi/>
      </w:pPr>
      <w:r>
        <w:rPr>
          <w:rtl/>
        </w:rPr>
        <w:t xml:space="preserve">تُسوّى النزاعات ودياً خلال </w:t>
      </w:r>
      <w:r>
        <w:rPr>
          <w:highlight w:val="yellow"/>
          <w:rtl/>
        </w:rPr>
        <w:t xml:space="preserve">[</w:t>
      </w:r>
      <w:r>
        <w:rPr>
          <w:highlight w:val="yellow"/>
          <w:rtl/>
        </w:rPr>
        <w:t xml:space="preserve">●</w:t>
      </w:r>
      <w:r>
        <w:rPr>
          <w:highlight w:val="yellow"/>
          <w:rtl/>
        </w:rPr>
        <w:t xml:space="preserve">]</w:t>
      </w:r>
      <w:r>
        <w:rPr>
          <w:rtl/>
        </w:rPr>
        <w:t xml:space="preserve"> يوماً، فإن تعذّر ذلك تُحال إلى </w:t>
      </w:r>
      <w:r>
        <w:rPr>
          <w:highlight w:val="yellow"/>
          <w:rtl/>
        </w:rPr>
        <w:t xml:space="preserve">[</w:t>
      </w:r>
      <w:r>
        <w:rPr>
          <w:highlight w:val="yellow"/>
          <w:rtl/>
        </w:rPr>
        <w:t xml:space="preserve">محاكم ●/التحكيم وفق ●</w:t>
      </w:r>
      <w:r>
        <w:rPr>
          <w:highlight w:val="yellow"/>
          <w:rtl/>
        </w:rPr>
        <w:t xml:space="preserve">]</w:t>
      </w:r>
      <w:r>
        <w:rPr>
          <w:rtl/>
        </w:rPr>
        <w:t xml:space="preserve">.</w:t>
      </w:r>
    </w:p>
    <w:p>
      <w:pPr>
        <w:pStyle w:val="Heading1"/>
        <w:bidi/>
      </w:pPr>
      <w:r>
        <w:rPr>
          <w:rtl/>
        </w:rPr>
        <w:t xml:space="preserve">البند (13): اللغة والتوقيع</w:t>
      </w:r>
    </w:p>
    <w:p>
      <w:pPr>
        <w:bidi/>
      </w:pPr>
      <w:r>
        <w:rPr>
          <w:rtl/>
        </w:rPr>
        <w:t xml:space="preserve">حُرِّر هذا العقد باللغتين العربية والإنجليزية، ويُعتمد النص العربي عند التعارض.</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الشريك الأول: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الشريك الثاني: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c6scesaa-yndwy42qbrc">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‪https://www.qanu.ai/ar/نماذج/نموذج-عقد-شراكة‬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نظام الشركات، الصادر بالمرسوم الملكي رقم (م/132) وتاريخ 1443/12/1هـ </w:t>
      </w:r>
      <w:hyperlink w:history="1" r:id="rIdzojk6ue2iadz3yggzkfwc">
        <w:r>
          <w:rPr>
            <w:rStyle w:val="Hyperlink"/>
            <w:sz w:val="16"/>
            <w:szCs w:val="16"/>
          </w:rPr>
          <w:t xml:space="preserve">https://laws.boe.gov.sa/BoeLaws/Laws/LawDetails/a8376aea-1bc3-49d4-9027-aed900b555af/1</w:t>
        </w:r>
      </w:hyperlink>
    </w:p>
    <w:p>
      <w:pPr>
        <w:bidi/>
        <w:ind w:start="360" w:hanging="360"/>
      </w:pPr>
      <w:r>
        <w:rPr>
          <w:sz w:val="18"/>
          <w:szCs w:val="18"/>
          <w:rtl/>
        </w:rPr>
        <w:t xml:space="preserve">[2] البوابة الرسمية لحكومة الإمارات (u.ae)، قانون الشركات التجارية (مرسوم بقانون اتحادي رقم 32 لسنة 2021) </w:t>
      </w:r>
      <w:hyperlink w:history="1" r:id="rIdjv0nlotv3dsbdnexk7wqt">
        <w:r>
          <w:rPr>
            <w:rStyle w:val="Hyperlink"/>
            <w:sz w:val="16"/>
            <w:szCs w:val="16"/>
          </w:rPr>
          <w:t xml:space="preserve">https://u.ae/en/information-and-services/business/Doing-business/doing-business-on-the-mainland/full-foreign-ownership-of-commercial-companies</w:t>
        </w:r>
      </w:hyperlink>
    </w:p>
    <w:p>
      <w:pPr>
        <w:bidi/>
        <w:ind w:start="360" w:hanging="360"/>
      </w:pPr>
      <w:r>
        <w:rPr>
          <w:sz w:val="18"/>
          <w:szCs w:val="18"/>
          <w:rtl/>
        </w:rPr>
        <w:t xml:space="preserve">[3] تشريعات الإمارات، مرسوم بقانون اتحادي رقم (25) لسنة 2025 (قانون المعاملات المدنية) </w:t>
      </w:r>
      <w:hyperlink w:history="1" r:id="rId-5quuwde1jg9k6wf-i_jt">
        <w:r>
          <w:rPr>
            <w:rStyle w:val="Hyperlink"/>
            <w:sz w:val="16"/>
            <w:szCs w:val="16"/>
          </w:rPr>
          <w:t xml:space="preserve">https://uaelegislation.gov.ae/en/legislations/4011</w:t>
        </w:r>
      </w:hyperlink>
    </w:p>
    <w:p>
      <w:pPr>
        <w:bidi/>
        <w:ind w:start="360" w:hanging="360"/>
      </w:pPr>
      <w:r>
        <w:rPr>
          <w:sz w:val="18"/>
          <w:szCs w:val="18"/>
          <w:rtl/>
        </w:rPr>
        <w:t xml:space="preserve">[4] البوابة الرسمية لحكومة الإمارات (u.ae)، أين تُنشر القوانين الاتحادية </w:t>
      </w:r>
      <w:hyperlink w:history="1" r:id="rIdqoujv2kklp_7gvhfpjhb3">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إذا كان أحد الطرفين منشأة فيُكتب اسمها كما ورد حرفياً في </w:t>
      </w:r>
      <w:hyperlink w:history="1" r:id="rIdthrqkbs9jrnqq3m2uq1u2">
        <w:r>
          <w:rPr>
            <w:rStyle w:val="Hyperlink"/>
            <w:rtl/>
          </w:rPr>
          <w:t xml:space="preserve">السجل التجاري</w:t>
        </w:r>
      </w:hyperlink>
      <w:r>
        <w:rPr>
          <w:rtl/>
        </w:rPr>
        <w:t xml:space="preserve">.</w:t>
      </w:r>
    </w:p>
  </w:comment>
  <w:comment w:id="1" w:initials="Q" w:author="Qanu" w:date="2026-10-17T00:00:00.000Z">
    <w:p>
      <w:pPr>
        <w:bidi/>
      </w:pPr>
      <w:r>
        <w:rPr>
          <w:b/>
          <w:bCs/>
          <w:rtl/>
        </w:rPr>
        <w:t xml:space="preserve">ملاحظة صياغة</w:t>
      </w:r>
    </w:p>
    <w:p>
      <w:pPr>
        <w:bidi/>
      </w:pPr>
      <w:r>
        <w:rPr>
          <w:rtl/>
        </w:rPr>
        <w:t xml:space="preserve">النشاط المنظّم يقتضي ترخيصاً من الجهة المختصة، وهذا النموذج لا يغني عن الترخيص.</w:t>
      </w:r>
    </w:p>
  </w:comment>
  <w:comment w:id="2" w:initials="Q" w:author="Qanu" w:date="2026-10-17T00:00:00.000Z">
    <w:p>
      <w:pPr>
        <w:bidi/>
      </w:pPr>
      <w:r>
        <w:rPr>
          <w:b/>
          <w:bCs/>
          <w:rtl/>
        </w:rPr>
        <w:t xml:space="preserve">ملاحظة صياغة</w:t>
      </w:r>
    </w:p>
    <w:p>
      <w:pPr>
        <w:bidi/>
      </w:pPr>
      <w:r>
        <w:rPr>
          <w:rtl/>
        </w:rPr>
        <w:t xml:space="preserve">استشيروا محامياً في المسؤولية والالتزام الضريبي إذا مارستم النشاط دون شركة؛ فهذا النموذج لا يبيّن ذلك الحكم. و</w:t>
      </w:r>
      <w:hyperlink w:history="1" r:id="rIdaykjv2oj7ioctcgtugtff">
        <w:r>
          <w:rPr>
            <w:rStyle w:val="Hyperlink"/>
            <w:rtl/>
          </w:rPr>
          <w:t xml:space="preserve">الشركة ذات المسؤولية المحدودة</w:t>
        </w:r>
      </w:hyperlink>
      <w:r>
        <w:rPr>
          <w:rtl/>
        </w:rPr>
        <w:t xml:space="preserve">، كغيرها من أشكال الشركات، لا تنشأ إلا بالتأسيس والقيد، لا بهذا العقد.</w:t>
      </w:r>
      <w:r>
        <w:rPr>
          <w:rtl/>
        </w:rPr>
        <w:t xml:space="preserve"> [2]</w:t>
      </w:r>
      <w:r>
        <w:rPr>
          <w:rtl/>
        </w:rPr>
        <w:t xml:space="preserve"> ولقائمة شروط المؤسسين قبل القيد استخدموا </w:t>
      </w:r>
      <w:hyperlink w:history="1" r:id="rId0dyucy7ojmsfsihonar00">
        <w:r>
          <w:rPr>
            <w:rStyle w:val="Hyperlink"/>
            <w:rtl/>
          </w:rPr>
          <w:t xml:space="preserve">نموذج عقد التأسيس</w:t>
        </w:r>
      </w:hyperlink>
      <w:r>
        <w:rPr>
          <w:rtl/>
        </w:rPr>
        <w:t xml:space="preserve">.</w:t>
      </w:r>
    </w:p>
  </w:comment>
  <w:comment w:id="3" w:initials="Q" w:author="Qanu" w:date="2026-10-17T00:00:00.000Z">
    <w:p>
      <w:pPr>
        <w:bidi/>
      </w:pPr>
      <w:r>
        <w:rPr>
          <w:b/>
          <w:bCs/>
          <w:rtl/>
        </w:rPr>
        <w:t xml:space="preserve">ملاحظة صياغة</w:t>
      </w:r>
    </w:p>
    <w:p>
      <w:pPr>
        <w:bidi/>
      </w:pPr>
      <w:r>
        <w:rPr>
          <w:rtl/>
        </w:rPr>
        <w:t xml:space="preserve">تُقدَّر الحصة العينية كتابةً، ويُبيَّن مصيرها إذا انقضى الاتفاق.</w:t>
      </w:r>
    </w:p>
  </w:comment>
  <w:comment w:id="4" w:initials="Q" w:author="Qanu" w:date="2026-10-17T00:00:00.000Z">
    <w:p>
      <w:pPr>
        <w:bidi/>
      </w:pPr>
      <w:r>
        <w:rPr>
          <w:b/>
          <w:bCs/>
          <w:rtl/>
        </w:rPr>
        <w:t xml:space="preserve">ملاحظة صياغة</w:t>
      </w:r>
    </w:p>
    <w:p>
      <w:pPr>
        <w:bidi/>
      </w:pPr>
      <w:r>
        <w:rPr>
          <w:rtl/>
        </w:rPr>
        <w:t xml:space="preserve">اكتبوا النسب بحيث يبلغ مجموعها مائة في المائة، وبيّنوا موعد حساب الأرباح وصرفها.</w:t>
      </w:r>
    </w:p>
  </w:comment>
  <w:comment w:id="5" w:initials="Q" w:author="Qanu" w:date="2026-10-17T00:00:00.000Z">
    <w:p>
      <w:pPr>
        <w:bidi/>
      </w:pPr>
      <w:r>
        <w:rPr>
          <w:b/>
          <w:bCs/>
          <w:rtl/>
        </w:rPr>
        <w:t xml:space="preserve">ملاحظة صياغة</w:t>
      </w:r>
    </w:p>
    <w:p>
      <w:pPr>
        <w:bidi/>
      </w:pPr>
      <w:r>
        <w:rPr>
          <w:rtl/>
        </w:rPr>
        <w:t xml:space="preserve">أضيفوا آليةً للخروج من التعادل إذا تعذّر الاتفاق: من يحسم الخلاف، أو كيف ينقضي العقد.</w:t>
      </w:r>
    </w:p>
  </w:comment>
  <w:comment w:id="6" w:initials="Q" w:author="Qanu" w:date="2026-10-17T00:00:00.000Z">
    <w:p>
      <w:pPr>
        <w:bidi/>
      </w:pPr>
      <w:r>
        <w:rPr>
          <w:b/>
          <w:bCs/>
          <w:rtl/>
        </w:rPr>
        <w:t xml:space="preserve">ملاحظة صياغة</w:t>
      </w:r>
    </w:p>
    <w:p>
      <w:pPr>
        <w:bidi/>
      </w:pPr>
      <w:r>
        <w:rPr>
          <w:rtl/>
        </w:rPr>
        <w:t xml:space="preserve">اجعلوا شرط عدم المنافسة محدوداً زماناً ومكاناً. وبالنسبة إلى العامل استخدموا </w:t>
      </w:r>
      <w:hyperlink w:history="1" r:id="rIdaqztmdk8gjzizuqbtkwvu">
        <w:r>
          <w:rPr>
            <w:rStyle w:val="Hyperlink"/>
            <w:rtl/>
          </w:rPr>
          <w:t xml:space="preserve">نموذج عقد العمل</w:t>
        </w:r>
      </w:hyperlink>
      <w:r>
        <w:rPr>
          <w:rtl/>
        </w:rPr>
        <w:t xml:space="preserve">.</w:t>
      </w:r>
    </w:p>
  </w:comment>
  <w:comment w:id="7" w:initials="Q" w:author="Qanu" w:date="2026-10-17T00:00:00.000Z">
    <w:p>
      <w:pPr>
        <w:bidi/>
      </w:pPr>
      <w:r>
        <w:rPr>
          <w:b/>
          <w:bCs/>
          <w:rtl/>
        </w:rPr>
        <w:t xml:space="preserve">ملاحظة صياغة</w:t>
      </w:r>
    </w:p>
    <w:p>
      <w:pPr>
        <w:bidi/>
      </w:pPr>
      <w:r>
        <w:rPr>
          <w:rtl/>
        </w:rPr>
        <w:t xml:space="preserve">سمّوا المقيّم، وموعد سداد الثمن، وما يجري عند الوفاة أو فقد الأهلية، واستشيروا محامياً قبل التوقيع.</w:t>
      </w:r>
    </w:p>
  </w:comment>
  <w:comment w:id="8" w:initials="Q" w:author="Qanu" w:date="2026-10-17T00:00:00.000Z">
    <w:p>
      <w:pPr>
        <w:bidi/>
      </w:pPr>
      <w:r>
        <w:rPr>
          <w:b/>
          <w:bCs/>
          <w:rtl/>
        </w:rPr>
        <w:t xml:space="preserve">ملاحظة صياغة</w:t>
      </w:r>
    </w:p>
    <w:p>
      <w:pPr>
        <w:bidi/>
      </w:pPr>
      <w:r>
        <w:rPr>
          <w:rtl/>
        </w:rPr>
        <w:t xml:space="preserve">سمّوا جهة الفصل في النزاع. وفي شأن التحكيم انظروا </w:t>
      </w:r>
      <w:hyperlink w:history="1" r:id="rIdhobw5v4kg7rdpptqws6x5">
        <w:r>
          <w:rPr>
            <w:rStyle w:val="Hyperlink"/>
            <w:rtl/>
          </w:rPr>
          <w:t xml:space="preserve">التحكيم</w:t>
        </w:r>
      </w:hyperlink>
      <w:r>
        <w:rPr>
          <w:rtl/>
        </w:rPr>
        <w:t xml:space="preserve"> في المسرد. وفي الإمارات العربية المتحدة قانون المعاملات المدنية هو المرسوم بقانون اتحادي رقم (25) لسنة 2025، ويُعمل به من 1 يونيو 2026، ولا يورد هذا النموذج أرقام مواد منه.</w:t>
      </w:r>
      <w:r>
        <w:rPr>
          <w:rtl/>
        </w:rPr>
        <w:t xml:space="preserve"> [3]</w:t>
      </w:r>
      <w:r>
        <w:rPr>
          <w:rtl/>
        </w:rPr>
        <w:t xml:space="preserve"> وتُنشر التشريعات الاتحادية في منصة تشريعات الإمارات.</w:t>
      </w:r>
      <w:r>
        <w:rPr>
          <w:rtl/>
        </w:rPr>
        <w:t xml:space="preserve"> [4]</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1A65ACB2-E25B-0CBE-F9B9-AE970406DFFC}"/>
    <w:embedBold r:id="rId2" w:fontKey="{E78790D3-AE34-9368-B528-878A98D7D5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‪https://www.qanu.ai/ar/نماذج/نموذج-عقد-شراكة‬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‪https://www.qanu.ai/ar/نماذج/نموذج-عقد-شراكة‬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thrqkbs9jrnqq3m2uq1u2" Type="http://schemas.openxmlformats.org/officeDocument/2006/relationships/hyperlink" Target="https://www.qanu.ai/ar/%D9%85%D8%B3%D8%B1%D8%AF-%D9%82%D8%A7%D9%86%D9%88%D9%86%D9%8A/%D8%B3%D8%AC%D9%84-%D8%AA%D8%AC%D8%A7%D8%B1%D9%8A" TargetMode="External"/><Relationship Id="rIdaykjv2oj7ioctcgtugtff" Type="http://schemas.openxmlformats.org/officeDocument/2006/relationships/hyperlink" Target="https://www.qanu.ai/ar/%D9%85%D8%B3%D8%B1%D8%AF-%D9%82%D8%A7%D9%86%D9%88%D9%86%D9%8A/%D8%B4%D8%B1%D9%83%D8%A9-%D8%B0%D8%A7%D8%AA-%D9%85%D8%B3%D8%A4%D9%88%D9%84%D9%8A%D8%A9-%D9%85%D8%AD%D8%AF%D9%88%D8%AF%D8%A9" TargetMode="External"/><Relationship Id="rId0dyucy7ojmsfsihonar00" Type="http://schemas.openxmlformats.org/officeDocument/2006/relationships/hyperlink" Target="https://www.qanu.ai/ar/%D9%86%D9%85%D8%A7%D8%B0%D8%AC/%D9%86%D9%85%D9%88%D8%B0%D8%AC-%D8%B9%D9%82%D8%AF-%D8%AA%D8%A3%D8%B3%D9%8A%D8%B3-%D8%B4%D8%B1%D9%83%D8%A9" TargetMode="External"/><Relationship Id="rIdaqztmdk8gjzizuqbtkwvu" Type="http://schemas.openxmlformats.org/officeDocument/2006/relationships/hyperlink" Target="https://www.qanu.ai/ar/%D9%86%D9%85%D8%A7%D8%B0%D8%AC/%D9%86%D9%85%D9%88%D8%B0%D8%AC-%D8%B9%D9%82%D8%AF-%D8%B9%D9%85%D9%84" TargetMode="External"/><Relationship Id="rIdhobw5v4kg7rdpptqws6x5" Type="http://schemas.openxmlformats.org/officeDocument/2006/relationships/hyperlink" Target="https://www.qanu.ai/ar/%D9%85%D8%B3%D8%B1%D8%AF-%D9%82%D8%A7%D9%86%D9%88%D9%86%D9%8A/%D8%AA%D8%AD%D9%83%D9%8A%D9%8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2hoot69wx34wets4eg9ls" Type="http://schemas.openxmlformats.org/officeDocument/2006/relationships/hyperlink" Target="https://www.qanu.ai/ar/%D9%85%D8%B3%D8%B1%D8%AF-%D9%82%D8%A7%D9%86%D9%88%D9%86%D9%8A/%D8%B3%D8%AC%D9%84-%D8%AA%D8%AC%D8%A7%D8%B1%D9%8A" TargetMode="External"/><Relationship Id="rIdws8rnado5tgszovijwnoe" Type="http://schemas.openxmlformats.org/officeDocument/2006/relationships/hyperlink" Target="https://www.qanu.ai/ar/%D9%85%D8%B3%D8%B1%D8%AF-%D9%82%D8%A7%D9%86%D9%88%D9%86%D9%8A/%D8%B9%D9%82%D8%AF-%D8%AA%D8%A3%D8%B3%D9%8A%D8%B3" TargetMode="External"/><Relationship Id="rIdunnuxz3tdqj4oms-ochxd" Type="http://schemas.openxmlformats.org/officeDocument/2006/relationships/hyperlink" Target="https://laws.boe.gov.sa/BoeLaws/Laws/LawDetails/a8376aea-1bc3-49d4-9027-aed900b555af/1" TargetMode="External"/><Relationship Id="rIdal2vnsoec5q1snfasrgmt" Type="http://schemas.openxmlformats.org/officeDocument/2006/relationships/hyperlink" Target="https://u.ae/en/information-and-services/business/Doing-business/doing-business-on-the-mainland/full-foreign-ownership-of-commercial-companies" TargetMode="External"/><Relationship Id="rId-c6scesaa-yndwy42qbrc" Type="http://schemas.openxmlformats.org/officeDocument/2006/relationships/hyperlink" Target="https://creativecommons.org/licenses/by/4.0/deed.ar" TargetMode="External"/><Relationship Id="rIdzojk6ue2iadz3yggzkfwc" Type="http://schemas.openxmlformats.org/officeDocument/2006/relationships/hyperlink" Target="https://laws.boe.gov.sa/BoeLaws/Laws/LawDetails/a8376aea-1bc3-49d4-9027-aed900b555af/1" TargetMode="External"/><Relationship Id="rIdjv0nlotv3dsbdnexk7wqt" Type="http://schemas.openxmlformats.org/officeDocument/2006/relationships/hyperlink" Target="https://u.ae/en/information-and-services/business/Doing-business/doing-business-on-the-mainland/full-foreign-ownership-of-commercial-companies" TargetMode="External"/><Relationship Id="rId-5quuwde1jg9k6wf-i_jt" Type="http://schemas.openxmlformats.org/officeDocument/2006/relationships/hyperlink" Target="https://uaelegislation.gov.ae/en/legislations/4011" TargetMode="External"/><Relationship Id="rIdqoujv2kklp_7gvhfpjhb3" Type="http://schemas.openxmlformats.org/officeDocument/2006/relationships/hyperlink" Target="https://u.ae/en/information-and-services/justice-safety-and-the-law/Law/how-are-uae-laws-issued-and-how-to-find-them/where-to-find-uae-federal-laws"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شراكة بين طرفين</dc:title>
  <dc:creator>Qanu</dc:creator>
  <cp:keywords>عقد شراكة, السجل التجاري,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2026-10-17T19:21:01.843Z</dcterms:created>
  <dcterms:modified xsi:type="dcterms:W3CDTF">2026-10-17T19:21:01.843Z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https://www.qanu.ai/ar/نماذج/نموذج-عقد-شراكة</vt:lpwstr>
  </property>
</Properties>
</file>