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This agreement does not create a company.</w:t>
      </w:r>
      <w:r>
        <w:rPr>
          <w:rtl w:val="false"/>
        </w:rPr>
        <w:t xml:space="preserve"> If you want to trade through a company, incorporate it under the companies law of your country and register it in the </w:t>
      </w:r>
      <w:hyperlink w:history="1" r:id="rIdd9ew1k2yvqpvhnwzh7pai">
        <w:r>
          <w:rPr>
            <w:rStyle w:val="Hyperlink"/>
            <w:rtl w:val="false"/>
          </w:rPr>
          <w:t xml:space="preserve">commercial register</w:t>
        </w:r>
      </w:hyperlink>
      <w:r>
        <w:rPr>
          <w:rtl w:val="false"/>
        </w:rPr>
        <w:t xml:space="preserve">. In Saudi Arabia, the Companies Law, Royal Decree No. M/132 dated 1/12/1443H (30 June 2022), sets the company forms, including the general partnership, the limited partnership, the joint-stock company, the simplified joint-stock company and the limited liability company. Founders who want a company must incorporate one under it.</w:t>
      </w:r>
      <w:r>
        <w:rPr>
          <w:rtl w:val="false"/>
        </w:rPr>
        <w:t xml:space="preserve"> [1]</w:t>
      </w:r>
      <w:r>
        <w:rPr>
          <w:rtl w:val="false"/>
        </w:rPr>
        <w:t xml:space="preserve"> In the UAE, companies are governed by the Commercial Companies Law (Federal Decree-Law No. 32 of 2021).</w:t>
      </w:r>
      <w:r>
        <w:rPr>
          <w:rtl w:val="false"/>
        </w:rPr>
        <w:t xml:space="preserve"> [2]</w:t>
      </w:r>
      <w:r>
        <w:rPr>
          <w:rtl w:val="false"/>
        </w:rPr>
        <w:t xml:space="preserve"> This template records the partners’ commercial understanding: contributions, profit sharing, management and exit. It can also serve as a founders’ agreement before incorporation. The </w:t>
      </w:r>
      <w:hyperlink w:history="1" r:id="rId0i0qzrirfunloljjm2swg">
        <w:r>
          <w:rPr>
            <w:rStyle w:val="Hyperlink"/>
            <w:rtl w:val="false"/>
          </w:rPr>
          <w:t xml:space="preserve">memorandum of association</w:t>
        </w:r>
      </w:hyperlink>
      <w:r>
        <w:rPr>
          <w:rtl w:val="false"/>
        </w:rPr>
        <w:t xml:space="preserve"> of a company is a different document.</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Saudi Companies Law: </w:t>
      </w:r>
      <w:hyperlink w:history="1" r:id="rIdgmbhh7eyapdsnohsqoa-m">
        <w:r>
          <w:rPr>
            <w:rStyle w:val="Hyperlink"/>
            <w:sz w:val="17"/>
            <w:szCs w:val="17"/>
          </w:rPr>
          <w:t xml:space="preserve">https://laws.boe.gov.sa/BoeLaws/Laws/LawDetails/a8376aea-1bc3-49d4-9027-aed900b555af/1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Commercial Companies Law: </w:t>
      </w:r>
      <w:hyperlink w:history="1" r:id="rId8rypop0yrto5vxj2el9co">
        <w:r>
          <w:rPr>
            <w:rStyle w:val="Hyperlink"/>
            <w:sz w:val="17"/>
            <w:szCs w:val="17"/>
          </w:rPr>
          <w:t xml:space="preserve">https://u.ae/en/information-and-services/business/Doing-business/doing-business-on-the-mainland/full-foreign-ownership-of-commercial-companies</w:t>
        </w:r>
      </w:hyperlink>
    </w:p>
    <w:p>
      <w:pPr>
        <w:bidi w:val="false"/>
        <w:spacing w:after="240"/>
      </w:pPr>
    </w:p>
    <w:p>
      <w:pPr>
        <w:pStyle w:val="Title"/>
        <w:bidi w:val="false"/>
      </w:pPr>
      <w:r>
        <w:rPr>
          <w:rtl w:val="false"/>
        </w:rPr>
        <w:t xml:space="preserve">Partnership agreement</w:t>
      </w:r>
    </w:p>
    <w:p>
      <w:pPr>
        <w:bidi w:val="false"/>
        <w:spacing w:after="240"/>
      </w:pPr>
      <w:r>
        <w:rPr>
          <w:color w:val="444444"/>
          <w:rtl w:val="false"/>
        </w:rPr>
        <w:t xml:space="preserve">A GCC-wide contractual arrangement between partners: contributions, profit sharing, management and exit. It can also serve as a founders’ agreement before incorporation. It does not create a company.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 and delete the options that don’t apply.</w:t>
      </w:r>
    </w:p>
    <w:p>
      <w:pPr>
        <w:pStyle w:val="Heading1"/>
        <w:bidi w:val="false"/>
      </w:pPr>
      <w:commentRangeStart w:id="0"/>
      <w:r>
        <w:rPr>
          <w:rtl w:val="false"/>
        </w:rPr>
        <w:t xml:space="preserve">1. Parties</w:t>
      </w:r>
      <w:commentRangeEnd w:id="0"/>
      <w:r>
        <w:rPr>
          <w:rtl w:val="false"/>
        </w:rPr>
        <w:commentReference w:id="0"/>
      </w:r>
    </w:p>
    <w:p>
      <w:pPr>
        <w:bidi w:val="false"/>
      </w:pPr>
      <w:r>
        <w:rPr>
          <w:highlight w:val="yellow"/>
          <w:rtl w:val="false"/>
        </w:rPr>
        <w:t xml:space="preserve">[</w:t>
      </w:r>
      <w:r>
        <w:rPr>
          <w:highlight w:val="yellow"/>
          <w:rtl w:val="false"/>
        </w:rPr>
        <w:t xml:space="preserve">Partner 1: name, ID/CR, address</w:t>
      </w:r>
      <w:r>
        <w:rPr>
          <w:highlight w:val="yellow"/>
          <w:rtl w:val="false"/>
        </w:rPr>
        <w:t xml:space="preserve">]</w:t>
      </w:r>
      <w:r>
        <w:rPr>
          <w:rtl w:val="false"/>
        </w:rPr>
        <w:t xml:space="preserve"> and </w:t>
      </w:r>
      <w:r>
        <w:rPr>
          <w:highlight w:val="yellow"/>
          <w:rtl w:val="false"/>
        </w:rPr>
        <w:t xml:space="preserve">[</w:t>
      </w:r>
      <w:r>
        <w:rPr>
          <w:highlight w:val="yellow"/>
          <w:rtl w:val="false"/>
        </w:rPr>
        <w:t xml:space="preserve">Partner 2: name, ID/CR, address</w:t>
      </w:r>
      <w:r>
        <w:rPr>
          <w:highlight w:val="yellow"/>
          <w:rtl w:val="false"/>
        </w:rPr>
        <w:t xml:space="preserve">]</w:t>
      </w:r>
      <w:r>
        <w:rPr>
          <w:rtl w:val="false"/>
        </w:rPr>
        <w:t xml:space="preserve"> (each a “Partner”).</w:t>
      </w:r>
    </w:p>
    <w:p>
      <w:pPr>
        <w:pStyle w:val="Heading1"/>
        <w:bidi w:val="false"/>
      </w:pPr>
      <w:commentRangeStart w:id="1"/>
      <w:r>
        <w:rPr>
          <w:rtl w:val="false"/>
        </w:rPr>
        <w:t xml:space="preserve">2. Purpose</w:t>
      </w:r>
      <w:commentRangeEnd w:id="1"/>
      <w:r>
        <w:rPr>
          <w:rtl w:val="false"/>
        </w:rPr>
        <w:commentReference w:id="1"/>
      </w:r>
    </w:p>
    <w:p>
      <w:pPr>
        <w:bidi w:val="false"/>
      </w:pPr>
      <w:r>
        <w:rPr>
          <w:rtl w:val="false"/>
        </w:rPr>
        <w:t xml:space="preserve">The Partners cooperate to </w:t>
      </w:r>
      <w:r>
        <w:rPr>
          <w:highlight w:val="yellow"/>
          <w:rtl w:val="false"/>
        </w:rPr>
        <w:t xml:space="preserve">[</w:t>
      </w:r>
      <w:r>
        <w:rPr>
          <w:highlight w:val="yellow"/>
          <w:rtl w:val="false"/>
        </w:rPr>
        <w:t xml:space="preserve">describe the business/project</w:t>
      </w:r>
      <w:r>
        <w:rPr>
          <w:highlight w:val="yellow"/>
          <w:rtl w:val="false"/>
        </w:rPr>
        <w:t xml:space="preserve">]</w:t>
      </w:r>
      <w:r>
        <w:rPr>
          <w:rtl w:val="false"/>
        </w:rPr>
        <w:t xml:space="preserve"> in </w:t>
      </w:r>
      <w:r>
        <w:rPr>
          <w:highlight w:val="yellow"/>
          <w:rtl w:val="false"/>
        </w:rPr>
        <w:t xml:space="preserve">[</w:t>
      </w:r>
      <w:r>
        <w:rPr>
          <w:highlight w:val="yellow"/>
          <w:rtl w:val="false"/>
        </w:rPr>
        <w:t xml:space="preserve">territory</w:t>
      </w:r>
      <w:r>
        <w:rPr>
          <w:highlight w:val="yellow"/>
          <w:rtl w:val="false"/>
        </w:rPr>
        <w:t xml:space="preserve">]</w:t>
      </w:r>
      <w:r>
        <w:rPr>
          <w:rtl w:val="false"/>
        </w:rPr>
        <w:t xml:space="preserve">.</w:t>
      </w:r>
    </w:p>
    <w:p>
      <w:pPr>
        <w:pStyle w:val="Heading1"/>
        <w:bidi w:val="false"/>
      </w:pPr>
      <w:commentRangeStart w:id="2"/>
      <w:r>
        <w:rPr>
          <w:rtl w:val="false"/>
        </w:rPr>
        <w:t xml:space="preserve">3. Nature of the relationship</w:t>
      </w:r>
      <w:commentRangeEnd w:id="2"/>
      <w:r>
        <w:rPr>
          <w:rtl w:val="false"/>
        </w:rPr>
        <w:commentReference w:id="2"/>
      </w:r>
    </w:p>
    <w:p>
      <w:pPr>
        <w:bidi w:val="false"/>
      </w:pPr>
      <w:r>
        <w:rPr>
          <w:rtl w:val="false"/>
        </w:rPr>
        <w:t xml:space="preserve">This agreement is a contractual arrangement between the Partners. It does not by itself establish a company registered in the commercial register.</w:t>
      </w:r>
    </w:p>
    <w:p>
      <w:pPr>
        <w:bidi w:val="false"/>
      </w:pPr>
      <w:r>
        <w:rPr>
          <w:b/>
          <w:bCs/>
          <w:rtl w:val="false"/>
        </w:rPr>
        <w:t xml:space="preserve">Option:</w:t>
      </w:r>
      <w:r>
        <w:rPr>
          <w:rtl w:val="false"/>
        </w:rPr>
        <w:t xml:space="preserve"> the Partners intend to incorporate a </w:t>
      </w:r>
      <w:r>
        <w:rPr>
          <w:highlight w:val="yellow"/>
          <w:rtl w:val="false"/>
        </w:rPr>
        <w:t xml:space="preserve">[</w:t>
      </w:r>
      <w:r>
        <w:rPr>
          <w:highlight w:val="yellow"/>
          <w:rtl w:val="false"/>
        </w:rPr>
        <w:t xml:space="preserve">form</w:t>
      </w:r>
      <w:r>
        <w:rPr>
          <w:highlight w:val="yellow"/>
          <w:rtl w:val="false"/>
        </w:rPr>
        <w:t xml:space="preserve">]</w:t>
      </w:r>
      <w:r>
        <w:rPr>
          <w:rtl w:val="false"/>
        </w:rPr>
        <w:t xml:space="preserve"> company by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and the agreed terms will be reflected in its memorandum of association.</w:t>
      </w:r>
    </w:p>
    <w:p>
      <w:pPr>
        <w:pStyle w:val="Heading1"/>
        <w:bidi w:val="false"/>
      </w:pPr>
      <w:commentRangeStart w:id="3"/>
      <w:r>
        <w:rPr>
          <w:rtl w:val="false"/>
        </w:rPr>
        <w:t xml:space="preserve">4. Contributions</w:t>
      </w:r>
      <w:commentRangeEnd w:id="3"/>
      <w:r>
        <w:rPr>
          <w:rtl w:val="false"/>
        </w:rPr>
        <w:commentReference w:id="3"/>
      </w:r>
    </w:p>
    <w:p>
      <w:pPr>
        <w:bidi w:val="false"/>
      </w:pPr>
      <w:r>
        <w:rPr>
          <w:rtl w:val="false"/>
        </w:rPr>
        <w:t xml:space="preserve">Each Partner contributes: </w:t>
      </w:r>
      <w:r>
        <w:rPr>
          <w:highlight w:val="yellow"/>
          <w:rtl w:val="false"/>
        </w:rPr>
        <w:t xml:space="preserve">[</w:t>
      </w:r>
      <w:r>
        <w:rPr>
          <w:highlight w:val="yellow"/>
          <w:rtl w:val="false"/>
        </w:rPr>
        <w:t xml:space="preserve">cash/in-kind/work</w:t>
      </w:r>
      <w:r>
        <w:rPr>
          <w:highlight w:val="yellow"/>
          <w:rtl w:val="false"/>
        </w:rPr>
        <w:t xml:space="preserve">]</w:t>
      </w:r>
      <w:r>
        <w:rPr>
          <w:rtl w:val="false"/>
        </w:rPr>
        <w:t xml:space="preserve"> valued at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commentRangeStart w:id="4"/>
      <w:r>
        <w:rPr>
          <w:rtl w:val="false"/>
        </w:rPr>
        <w:t xml:space="preserve">5. Profit and loss</w:t>
      </w:r>
      <w:commentRangeEnd w:id="4"/>
      <w:r>
        <w:rPr>
          <w:rtl w:val="false"/>
        </w:rPr>
        <w:commentReference w:id="4"/>
      </w:r>
    </w:p>
    <w:p>
      <w:pPr>
        <w:bidi w:val="false"/>
      </w:pPr>
      <w:r>
        <w:rPr>
          <w:rtl w:val="false"/>
        </w:rPr>
        <w:t xml:space="preserve">Profits and losses are shared </w:t>
      </w:r>
      <w:r>
        <w:rPr>
          <w:highlight w:val="yellow"/>
          <w:rtl w:val="false"/>
        </w:rPr>
        <w:t xml:space="preserve">[</w:t>
      </w:r>
      <w:r>
        <w:rPr>
          <w:highlight w:val="yellow"/>
          <w:rtl w:val="false"/>
        </w:rPr>
        <w:t xml:space="preserve">●% / ●%</w:t>
      </w:r>
      <w:r>
        <w:rPr>
          <w:highlight w:val="yellow"/>
          <w:rtl w:val="false"/>
        </w:rPr>
        <w:t xml:space="preserve">]</w:t>
      </w:r>
      <w:r>
        <w:rPr>
          <w:rtl w:val="false"/>
        </w:rPr>
        <w:t xml:space="preserve">.</w:t>
      </w:r>
    </w:p>
    <w:p>
      <w:pPr>
        <w:pStyle w:val="Heading1"/>
        <w:bidi w:val="false"/>
      </w:pPr>
      <w:commentRangeStart w:id="5"/>
      <w:r>
        <w:rPr>
          <w:rtl w:val="false"/>
        </w:rPr>
        <w:t xml:space="preserve">6. Management and decisions</w:t>
      </w:r>
      <w:commentRangeEnd w:id="5"/>
      <w:r>
        <w:rPr>
          <w:rtl w:val="false"/>
        </w:rPr>
        <w:commentReference w:id="5"/>
      </w:r>
    </w:p>
    <w:p>
      <w:pPr>
        <w:bidi w:val="false"/>
      </w:pPr>
      <w:r>
        <w:rPr>
          <w:highlight w:val="yellow"/>
          <w:rtl w:val="false"/>
        </w:rPr>
        <w:t xml:space="preserve">[</w:t>
      </w:r>
      <w:r>
        <w:rPr>
          <w:highlight w:val="yellow"/>
          <w:rtl w:val="false"/>
        </w:rPr>
        <w:t xml:space="preserve">Partner/manager</w:t>
      </w:r>
      <w:r>
        <w:rPr>
          <w:highlight w:val="yellow"/>
          <w:rtl w:val="false"/>
        </w:rPr>
        <w:t xml:space="preserve">]</w:t>
      </w:r>
      <w:r>
        <w:rPr>
          <w:rtl w:val="false"/>
        </w:rPr>
        <w:t xml:space="preserve"> manages day-to-day operations. These decisions require unanimous written consent: </w:t>
      </w:r>
      <w:r>
        <w:rPr>
          <w:highlight w:val="yellow"/>
          <w:rtl w:val="false"/>
        </w:rPr>
        <w:t xml:space="preserve">[</w:t>
      </w:r>
      <w:r>
        <w:rPr>
          <w:highlight w:val="yellow"/>
          <w:rtl w:val="false"/>
        </w:rPr>
        <w:t xml:space="preserve">list</w:t>
      </w:r>
      <w:r>
        <w:rPr>
          <w:highlight w:val="yellow"/>
          <w:rtl w:val="false"/>
        </w:rPr>
        <w:t xml:space="preserve">]</w:t>
      </w:r>
      <w:r>
        <w:rPr>
          <w:rtl w:val="false"/>
        </w:rPr>
        <w:t xml:space="preserve">.</w:t>
      </w:r>
    </w:p>
    <w:p>
      <w:pPr>
        <w:pStyle w:val="Heading1"/>
        <w:bidi w:val="false"/>
      </w:pPr>
      <w:r>
        <w:rPr>
          <w:rtl w:val="false"/>
        </w:rPr>
        <w:t xml:space="preserve">7. Accounts</w:t>
      </w:r>
    </w:p>
    <w:p>
      <w:pPr>
        <w:bidi w:val="false"/>
      </w:pPr>
      <w:r>
        <w:rPr>
          <w:rtl w:val="false"/>
        </w:rPr>
        <w:t xml:space="preserve">The Partners keep separate books and a bank account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Each Partner may inspect them on reasonable notice.</w:t>
      </w:r>
    </w:p>
    <w:p>
      <w:pPr>
        <w:pStyle w:val="Heading1"/>
        <w:bidi w:val="false"/>
      </w:pPr>
      <w:commentRangeStart w:id="6"/>
      <w:r>
        <w:rPr>
          <w:rtl w:val="false"/>
        </w:rPr>
        <w:t xml:space="preserve">8. Confidentiality and non-compete</w:t>
      </w:r>
      <w:commentRangeEnd w:id="6"/>
      <w:r>
        <w:rPr>
          <w:rtl w:val="false"/>
        </w:rPr>
        <w:commentReference w:id="6"/>
      </w:r>
    </w:p>
    <w:p>
      <w:pPr>
        <w:bidi w:val="false"/>
      </w:pPr>
      <w:r>
        <w:rPr>
          <w:rtl w:val="false"/>
        </w:rPr>
        <w:t xml:space="preserve">Each Partner protects the other’s confidential information and uses it only for the purpose of this agreement.</w:t>
      </w:r>
    </w:p>
    <w:p>
      <w:pPr>
        <w:bidi w:val="false"/>
      </w:pPr>
      <w:r>
        <w:rPr>
          <w:b/>
          <w:bCs/>
          <w:rtl w:val="false"/>
        </w:rPr>
        <w:t xml:space="preserve">Option:</w:t>
      </w:r>
      <w:r>
        <w:rPr>
          <w:rtl w:val="false"/>
        </w:rPr>
        <w:t xml:space="preserve"> no Partner carries on a competing activity during the agreement and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months after it ends, within </w:t>
      </w:r>
      <w:r>
        <w:rPr>
          <w:highlight w:val="yellow"/>
          <w:rtl w:val="false"/>
        </w:rPr>
        <w:t xml:space="preserve">[</w:t>
      </w:r>
      <w:r>
        <w:rPr>
          <w:highlight w:val="yellow"/>
          <w:rtl w:val="false"/>
        </w:rPr>
        <w:t xml:space="preserve">area</w:t>
      </w:r>
      <w:r>
        <w:rPr>
          <w:highlight w:val="yellow"/>
          <w:rtl w:val="false"/>
        </w:rPr>
        <w:t xml:space="preserve">]</w:t>
      </w:r>
      <w:r>
        <w:rPr>
          <w:rtl w:val="false"/>
        </w:rPr>
        <w:t xml:space="preserve">.</w:t>
      </w:r>
    </w:p>
    <w:p>
      <w:pPr>
        <w:pStyle w:val="Heading1"/>
        <w:bidi w:val="false"/>
      </w:pPr>
      <w:r>
        <w:rPr>
          <w:rtl w:val="false"/>
        </w:rPr>
        <w:t xml:space="preserve">9. Transfer and pre-emption</w:t>
      </w:r>
    </w:p>
    <w:p>
      <w:pPr>
        <w:bidi w:val="false"/>
      </w:pPr>
      <w:r>
        <w:rPr>
          <w:rtl w:val="false"/>
        </w:rPr>
        <w:t xml:space="preserve">No Partner transfers its interest without the other’s prior written consent. The other Partner has a right of first refusal on the terms offered by a third party.</w:t>
      </w:r>
    </w:p>
    <w:p>
      <w:pPr>
        <w:pStyle w:val="Heading1"/>
        <w:bidi w:val="false"/>
      </w:pPr>
      <w:commentRangeStart w:id="7"/>
      <w:r>
        <w:rPr>
          <w:rtl w:val="false"/>
        </w:rPr>
        <w:t xml:space="preserve">10. Exit, death or incapacity</w:t>
      </w:r>
      <w:commentRangeEnd w:id="7"/>
      <w:r>
        <w:rPr>
          <w:rtl w:val="false"/>
        </w:rPr>
        <w:commentReference w:id="7"/>
      </w:r>
    </w:p>
    <w:p>
      <w:pPr>
        <w:bidi w:val="false"/>
      </w:pPr>
      <w:r>
        <w:rPr>
          <w:highlight w:val="yellow"/>
          <w:rtl w:val="false"/>
        </w:rPr>
        <w:t xml:space="preserve">[</w:t>
      </w:r>
      <w:r>
        <w:rPr>
          <w:highlight w:val="yellow"/>
          <w:rtl w:val="false"/>
        </w:rPr>
        <w:t xml:space="preserve">Valuation method and buy-out procedure.</w:t>
      </w:r>
      <w:r>
        <w:rPr>
          <w:highlight w:val="yellow"/>
          <w:rtl w:val="false"/>
        </w:rPr>
        <w:t xml:space="preserve">]</w:t>
      </w:r>
      <w:r>
        <w:rPr>
          <w:rtl w:val="false"/>
        </w:rPr>
        <w:t xml:space="preserve"> A Partner may leave by giving written notice of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The remaining Partner may buy the leaving Partner’s interest at </w:t>
      </w:r>
      <w:r>
        <w:rPr>
          <w:highlight w:val="yellow"/>
          <w:rtl w:val="false"/>
        </w:rPr>
        <w:t xml:space="preserve">[</w:t>
      </w:r>
      <w:r>
        <w:rPr>
          <w:highlight w:val="yellow"/>
          <w:rtl w:val="false"/>
        </w:rPr>
        <w:t xml:space="preserve">valuation method</w:t>
      </w:r>
      <w:r>
        <w:rPr>
          <w:highlight w:val="yellow"/>
          <w:rtl w:val="false"/>
        </w:rPr>
        <w:t xml:space="preserve">]</w:t>
      </w:r>
      <w:r>
        <w:rPr>
          <w:rtl w:val="false"/>
        </w:rPr>
        <w:t xml:space="preserve"> within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w:t>
      </w:r>
    </w:p>
    <w:p>
      <w:pPr>
        <w:pStyle w:val="Heading1"/>
        <w:bidi w:val="false"/>
      </w:pPr>
      <w:r>
        <w:rPr>
          <w:rtl w:val="false"/>
        </w:rPr>
        <w:t xml:space="preserve">11. Term and dissolution</w:t>
      </w:r>
    </w:p>
    <w:p>
      <w:pPr>
        <w:bidi w:val="false"/>
      </w:pPr>
      <w:r>
        <w:rPr>
          <w:rtl w:val="false"/>
        </w:rPr>
        <w:t xml:space="preserve">This agreement runs for </w:t>
      </w:r>
      <w:r>
        <w:rPr>
          <w:highlight w:val="yellow"/>
          <w:rtl w:val="false"/>
        </w:rPr>
        <w:t xml:space="preserve">[</w:t>
      </w:r>
      <w:r>
        <w:rPr>
          <w:highlight w:val="yellow"/>
          <w:rtl w:val="false"/>
        </w:rPr>
        <w:t xml:space="preserve">term</w:t>
      </w:r>
      <w:r>
        <w:rPr>
          <w:highlight w:val="yellow"/>
          <w:rtl w:val="false"/>
        </w:rPr>
        <w:t xml:space="preserve">]</w:t>
      </w:r>
      <w:r>
        <w:rPr>
          <w:rtl w:val="false"/>
        </w:rPr>
        <w:t xml:space="preserve">. On dissolution, assets are liquidated and distributed after debts are paid, in the profit-sharing proportions in clause 5.</w:t>
      </w:r>
    </w:p>
    <w:p>
      <w:pPr>
        <w:pStyle w:val="Heading1"/>
        <w:bidi w:val="false"/>
      </w:pPr>
      <w:commentRangeStart w:id="8"/>
      <w:r>
        <w:rPr>
          <w:rtl w:val="false"/>
        </w:rPr>
        <w:t xml:space="preserve">12. Disputes</w:t>
      </w:r>
      <w:commentRangeEnd w:id="8"/>
      <w:r>
        <w:rPr>
          <w:rtl w:val="false"/>
        </w:rPr>
        <w:commentReference w:id="8"/>
      </w:r>
    </w:p>
    <w:p>
      <w:pPr>
        <w:bidi w:val="false"/>
      </w:pPr>
      <w:r>
        <w:rPr>
          <w:rtl w:val="false"/>
        </w:rPr>
        <w:t xml:space="preserve">The Partners try to settle a dispute by amicable negotiation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If they cannot, the dispute goes to </w:t>
      </w:r>
      <w:r>
        <w:rPr>
          <w:highlight w:val="yellow"/>
          <w:rtl w:val="false"/>
        </w:rPr>
        <w:t xml:space="preserve">[</w:t>
      </w:r>
      <w:r>
        <w:rPr>
          <w:highlight w:val="yellow"/>
          <w:rtl w:val="false"/>
        </w:rPr>
        <w:t xml:space="preserve">courts of ● / arbitration under ●</w:t>
      </w:r>
      <w:r>
        <w:rPr>
          <w:highlight w:val="yellow"/>
          <w:rtl w:val="false"/>
        </w:rPr>
        <w:t xml:space="preserve">]</w:t>
      </w:r>
      <w:r>
        <w:rPr>
          <w:rtl w:val="false"/>
        </w:rPr>
        <w:t xml:space="preserve">.</w:t>
      </w:r>
    </w:p>
    <w:p>
      <w:pPr>
        <w:pStyle w:val="Heading1"/>
        <w:bidi w:val="false"/>
      </w:pPr>
      <w:r>
        <w:rPr>
          <w:rtl w:val="false"/>
        </w:rPr>
        <w:t xml:space="preserve">13. Language and signatures</w:t>
      </w:r>
    </w:p>
    <w:p>
      <w:pPr>
        <w:bidi w:val="false"/>
      </w:pPr>
      <w:r>
        <w:rPr>
          <w:rtl w:val="false"/>
        </w:rPr>
        <w:t xml:space="preserve">This agreement is made in Arabic and English. If they conflict, the Arabic text prevails.</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Partner 1:</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capacity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Partner 2:</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capacity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1mtzlee5y5agtmuv0tfya">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https://www.qanu.ai/en/templates/partnership-agreement · Last reviewed: 17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Companies Law, Royal Decree No. M/132 dated 1/12/1443H (30 June 2022) </w:t>
      </w:r>
      <w:hyperlink w:history="1" r:id="rIdd1f0guwrh_qu0yiqicoec">
        <w:r>
          <w:rPr>
            <w:rStyle w:val="Hyperlink"/>
            <w:sz w:val="16"/>
            <w:szCs w:val="16"/>
          </w:rPr>
          <w:t xml:space="preserve">https://laws.boe.gov.sa/BoeLaws/Laws/LawDetails/a8376aea-1bc3-49d4-9027-aed900b555af/1</w:t>
        </w:r>
      </w:hyperlink>
    </w:p>
    <w:p>
      <w:pPr>
        <w:bidi w:val="false"/>
        <w:ind w:start="360" w:hanging="360"/>
      </w:pPr>
      <w:r>
        <w:rPr>
          <w:sz w:val="18"/>
          <w:szCs w:val="18"/>
          <w:rtl w:val="false"/>
        </w:rPr>
        <w:t xml:space="preserve">[2] UAE Government portal (u.ae), Commercial Companies Law (Federal Decree-Law No. 32 of 2021) </w:t>
      </w:r>
      <w:hyperlink w:history="1" r:id="rIdfjat7aufejrjezbxhdgng">
        <w:r>
          <w:rPr>
            <w:rStyle w:val="Hyperlink"/>
            <w:sz w:val="16"/>
            <w:szCs w:val="16"/>
          </w:rPr>
          <w:t xml:space="preserve">https://u.ae/en/information-and-services/business/Doing-business/doing-business-on-the-mainland/full-foreign-ownership-of-commercial-companies</w:t>
        </w:r>
      </w:hyperlink>
    </w:p>
    <w:p>
      <w:pPr>
        <w:bidi w:val="false"/>
        <w:ind w:start="360" w:hanging="360"/>
      </w:pPr>
      <w:r>
        <w:rPr>
          <w:sz w:val="18"/>
          <w:szCs w:val="18"/>
          <w:rtl w:val="false"/>
        </w:rPr>
        <w:t xml:space="preserve">[3] UAE Legislation, Federal Decree-Law No. 25 of 2025 (Civil Transactions Law) </w:t>
      </w:r>
      <w:hyperlink w:history="1" r:id="rIdl86pq9u5sos0x_8gcqir6">
        <w:r>
          <w:rPr>
            <w:rStyle w:val="Hyperlink"/>
            <w:sz w:val="16"/>
            <w:szCs w:val="16"/>
          </w:rPr>
          <w:t xml:space="preserve">https://uaelegislation.gov.ae/en/legislations/4011</w:t>
        </w:r>
      </w:hyperlink>
    </w:p>
    <w:p>
      <w:pPr>
        <w:bidi w:val="false"/>
        <w:ind w:start="360" w:hanging="360"/>
      </w:pPr>
      <w:r>
        <w:rPr>
          <w:sz w:val="18"/>
          <w:szCs w:val="18"/>
          <w:rtl w:val="false"/>
        </w:rPr>
        <w:t xml:space="preserve">[4] UAE Government portal (u.ae), Where to find the UAE's federal laws </w:t>
      </w:r>
      <w:hyperlink w:history="1" r:id="rIdbdbc-winv9g2gyucvecqi">
        <w:r>
          <w:rPr>
            <w:rStyle w:val="Hyperlink"/>
            <w:sz w:val="16"/>
            <w:szCs w:val="16"/>
          </w:rPr>
          <w:t xml:space="preserve">https://u.ae/en/information-and-services/justice-safety-and-the-law/Law/how-are-uae-laws-issued-and-how-to-find-them/where-to-find-uae-federal-laws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val="false"/>
      </w:pPr>
      <w:r>
        <w:rPr>
          <w:b/>
          <w:bCs/>
          <w:rtl w:val="false"/>
        </w:rPr>
        <w:t xml:space="preserve">Drafting note</w:t>
      </w:r>
    </w:p>
    <w:p>
      <w:pPr>
        <w:bidi w:val="false"/>
      </w:pPr>
      <w:r>
        <w:rPr>
          <w:rtl w:val="false"/>
        </w:rPr>
        <w:t xml:space="preserve">Use the exact legal name from the </w:t>
      </w:r>
      <w:hyperlink w:history="1" r:id="rId4bheqlnbbzvm0vj-9jbw-">
        <w:r>
          <w:rPr>
            <w:rStyle w:val="Hyperlink"/>
            <w:rtl w:val="false"/>
          </w:rPr>
          <w:t xml:space="preserve">commercial register</w:t>
        </w:r>
      </w:hyperlink>
      <w:r>
        <w:rPr>
          <w:rtl w:val="false"/>
        </w:rPr>
        <w:t xml:space="preserve"> where a party is a business.</w:t>
      </w:r>
    </w:p>
  </w:comment>
  <w:comment w:id="1" w:initials="Q" w:author="Qanu" w:date="2026-10-17T00:00:00.000Z">
    <w:p>
      <w:pPr>
        <w:bidi w:val="false"/>
      </w:pPr>
      <w:r>
        <w:rPr>
          <w:b/>
          <w:bCs/>
          <w:rtl w:val="false"/>
        </w:rPr>
        <w:t xml:space="preserve">Drafting note</w:t>
      </w:r>
    </w:p>
    <w:p>
      <w:pPr>
        <w:bidi w:val="false"/>
      </w:pPr>
      <w:r>
        <w:rPr>
          <w:rtl w:val="false"/>
        </w:rPr>
        <w:t xml:space="preserve">Regulated activities need a licence from the competent authority. This template does not grant one.</w:t>
      </w:r>
    </w:p>
  </w:comment>
  <w:comment w:id="2" w:initials="Q" w:author="Qanu" w:date="2026-10-17T00:00:00.000Z">
    <w:p>
      <w:pPr>
        <w:bidi w:val="false"/>
      </w:pPr>
      <w:r>
        <w:rPr>
          <w:b/>
          <w:bCs/>
          <w:rtl w:val="false"/>
        </w:rPr>
        <w:t xml:space="preserve">Drafting note</w:t>
      </w:r>
    </w:p>
    <w:p>
      <w:pPr>
        <w:bidi w:val="false"/>
      </w:pPr>
      <w:r>
        <w:rPr>
          <w:rtl w:val="false"/>
        </w:rPr>
        <w:t xml:space="preserve">Take advice on the liability and tax treatment of an unincorporated arrangement before you rely on this clause. This template does not state that treatment. A </w:t>
      </w:r>
      <w:hyperlink w:history="1" r:id="rIdozv-07jzziw9xzxmgoonb">
        <w:r>
          <w:rPr>
            <w:rStyle w:val="Hyperlink"/>
            <w:rtl w:val="false"/>
          </w:rPr>
          <w:t xml:space="preserve">limited liability company</w:t>
        </w:r>
      </w:hyperlink>
      <w:r>
        <w:rPr>
          <w:rtl w:val="false"/>
        </w:rPr>
        <w:t xml:space="preserve">, and any other company form, is created by incorporation and registration, not by this agreement.</w:t>
      </w:r>
      <w:r>
        <w:rPr>
          <w:rtl w:val="false"/>
        </w:rPr>
        <w:t xml:space="preserve"> [2]</w:t>
      </w:r>
      <w:r>
        <w:rPr>
          <w:rtl w:val="false"/>
        </w:rPr>
        <w:t xml:space="preserve"> For a founders’ checklist of that document, use the </w:t>
      </w:r>
      <w:hyperlink w:history="1" r:id="rIdgfqziscaxd0whpxfwbavn">
        <w:r>
          <w:rPr>
            <w:rStyle w:val="Hyperlink"/>
            <w:rtl w:val="false"/>
          </w:rPr>
          <w:t xml:space="preserve">memorandum of association template</w:t>
        </w:r>
      </w:hyperlink>
      <w:r>
        <w:rPr>
          <w:rtl w:val="false"/>
        </w:rPr>
        <w:t xml:space="preserve">.</w:t>
      </w:r>
    </w:p>
  </w:comment>
  <w:comment w:id="3" w:initials="Q" w:author="Qanu" w:date="2026-10-17T00:00:00.000Z">
    <w:p>
      <w:pPr>
        <w:bidi w:val="false"/>
      </w:pPr>
      <w:r>
        <w:rPr>
          <w:b/>
          <w:bCs/>
          <w:rtl w:val="false"/>
        </w:rPr>
        <w:t xml:space="preserve">Drafting note</w:t>
      </w:r>
    </w:p>
    <w:p>
      <w:pPr>
        <w:bidi w:val="false"/>
      </w:pPr>
      <w:r>
        <w:rPr>
          <w:rtl w:val="false"/>
        </w:rPr>
        <w:t xml:space="preserve">Value in-kind contributions in writing, and say who owns the asset if the arrangement ends.</w:t>
      </w:r>
    </w:p>
  </w:comment>
  <w:comment w:id="4" w:initials="Q" w:author="Qanu" w:date="2026-10-17T00:00:00.000Z">
    <w:p>
      <w:pPr>
        <w:bidi w:val="false"/>
      </w:pPr>
      <w:r>
        <w:rPr>
          <w:b/>
          <w:bCs/>
          <w:rtl w:val="false"/>
        </w:rPr>
        <w:t xml:space="preserve">Drafting note</w:t>
      </w:r>
    </w:p>
    <w:p>
      <w:pPr>
        <w:bidi w:val="false"/>
      </w:pPr>
      <w:r>
        <w:rPr>
          <w:rtl w:val="false"/>
        </w:rPr>
        <w:t xml:space="preserve">State the shares as percentages that add up to 100, and say when profits are calculated and paid.</w:t>
      </w:r>
    </w:p>
  </w:comment>
  <w:comment w:id="5" w:initials="Q" w:author="Qanu" w:date="2026-10-17T00:00:00.000Z">
    <w:p>
      <w:pPr>
        <w:bidi w:val="false"/>
      </w:pPr>
      <w:r>
        <w:rPr>
          <w:b/>
          <w:bCs/>
          <w:rtl w:val="false"/>
        </w:rPr>
        <w:t xml:space="preserve">Drafting note</w:t>
      </w:r>
    </w:p>
    <w:p>
      <w:pPr>
        <w:bidi w:val="false"/>
      </w:pPr>
      <w:r>
        <w:rPr>
          <w:rtl w:val="false"/>
        </w:rPr>
        <w:t xml:space="preserve">Add a deadlock mechanism: who decides, or how the arrangement ends, if the Partners cannot agree.</w:t>
      </w:r>
    </w:p>
  </w:comment>
  <w:comment w:id="6" w:initials="Q" w:author="Qanu" w:date="2026-10-17T00:00:00.000Z">
    <w:p>
      <w:pPr>
        <w:bidi w:val="false"/>
      </w:pPr>
      <w:r>
        <w:rPr>
          <w:b/>
          <w:bCs/>
          <w:rtl w:val="false"/>
        </w:rPr>
        <w:t xml:space="preserve">Drafting note</w:t>
      </w:r>
    </w:p>
    <w:p>
      <w:pPr>
        <w:bidi w:val="false"/>
      </w:pPr>
      <w:r>
        <w:rPr>
          <w:rtl w:val="false"/>
        </w:rPr>
        <w:t xml:space="preserve">Keep any non-compete reasonable in time and place. For an employee, use the </w:t>
      </w:r>
      <w:hyperlink w:history="1" r:id="rIdyyiaptjl53mkeoffsccdn">
        <w:r>
          <w:rPr>
            <w:rStyle w:val="Hyperlink"/>
            <w:rtl w:val="false"/>
          </w:rPr>
          <w:t xml:space="preserve">employment contract template</w:t>
        </w:r>
      </w:hyperlink>
      <w:r>
        <w:rPr>
          <w:rtl w:val="false"/>
        </w:rPr>
        <w:t xml:space="preserve"> instead.</w:t>
      </w:r>
    </w:p>
  </w:comment>
  <w:comment w:id="7" w:initials="Q" w:author="Qanu" w:date="2026-10-17T00:00:00.000Z">
    <w:p>
      <w:pPr>
        <w:bidi w:val="false"/>
      </w:pPr>
      <w:r>
        <w:rPr>
          <w:b/>
          <w:bCs/>
          <w:rtl w:val="false"/>
        </w:rPr>
        <w:t xml:space="preserve">Drafting note</w:t>
      </w:r>
    </w:p>
    <w:p>
      <w:pPr>
        <w:bidi w:val="false"/>
      </w:pPr>
      <w:r>
        <w:rPr>
          <w:rtl w:val="false"/>
        </w:rPr>
        <w:t xml:space="preserve">Name the valuer, the payment timing, and what happens if a Partner dies or loses capacity. Take advice before signing.</w:t>
      </w:r>
    </w:p>
  </w:comment>
  <w:comment w:id="8" w:initials="Q" w:author="Qanu" w:date="2026-10-17T00:00:00.000Z">
    <w:p>
      <w:pPr>
        <w:bidi w:val="false"/>
      </w:pPr>
      <w:r>
        <w:rPr>
          <w:b/>
          <w:bCs/>
          <w:rtl w:val="false"/>
        </w:rPr>
        <w:t xml:space="preserve">Drafting note</w:t>
      </w:r>
    </w:p>
    <w:p>
      <w:pPr>
        <w:bidi w:val="false"/>
      </w:pPr>
      <w:r>
        <w:rPr>
          <w:rtl w:val="false"/>
        </w:rPr>
        <w:t xml:space="preserve">Name the forum. For arbitration, see </w:t>
      </w:r>
      <w:hyperlink w:history="1" r:id="rIddcifv-dsho7buei4p5a-q">
        <w:r>
          <w:rPr>
            <w:rStyle w:val="Hyperlink"/>
            <w:rtl w:val="false"/>
          </w:rPr>
          <w:t xml:space="preserve">arbitration</w:t>
        </w:r>
      </w:hyperlink>
      <w:r>
        <w:rPr>
          <w:rtl w:val="false"/>
        </w:rPr>
        <w:t xml:space="preserve"> in the glossary. In the UAE, the Civil Transactions Law is Federal Decree-Law No. 25 of 2025, in force on 1 June 2026. This template does not cite article numbers from that law.</w:t>
      </w:r>
      <w:r>
        <w:rPr>
          <w:rtl w:val="false"/>
        </w:rPr>
        <w:t xml:space="preserve"> [3]</w:t>
      </w:r>
      <w:r>
        <w:rPr>
          <w:rtl w:val="false"/>
        </w:rPr>
        <w:t xml:space="preserve"> Federal legislation is published on the UAE Legislation platform.</w:t>
      </w:r>
      <w:r>
        <w:rPr>
          <w:rtl w:val="false"/>
        </w:rPr>
        <w:t xml:space="preserve"> [4]</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17 October 2026 – https://www.qanu.ai/en/templates/partnership-agreement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17 October 2026 – https://www.qanu.ai/en/templates/partnership-agreement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4bheqlnbbzvm0vj-9jbw-" Type="http://schemas.openxmlformats.org/officeDocument/2006/relationships/hyperlink" Target="https://www.qanu.ai/en/glossary/commercial-registration" TargetMode="External"/><Relationship Id="rIdozv-07jzziw9xzxmgoonb" Type="http://schemas.openxmlformats.org/officeDocument/2006/relationships/hyperlink" Target="https://www.qanu.ai/en/glossary/limited-liability-company" TargetMode="External"/><Relationship Id="rIdgfqziscaxd0whpxfwbavn" Type="http://schemas.openxmlformats.org/officeDocument/2006/relationships/hyperlink" Target="https://www.qanu.ai/en/templates/memorandum-of-association" TargetMode="External"/><Relationship Id="rIdyyiaptjl53mkeoffsccdn" Type="http://schemas.openxmlformats.org/officeDocument/2006/relationships/hyperlink" Target="https://www.qanu.ai/en/templates/employment-contract" TargetMode="External"/><Relationship Id="rIddcifv-dsho7buei4p5a-q" Type="http://schemas.openxmlformats.org/officeDocument/2006/relationships/hyperlink" Target="https://www.qanu.ai/en/glossary/arbitration"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d9ew1k2yvqpvhnwzh7pai" Type="http://schemas.openxmlformats.org/officeDocument/2006/relationships/hyperlink" Target="https://www.qanu.ai/en/glossary/commercial-registration" TargetMode="External"/><Relationship Id="rId0i0qzrirfunloljjm2swg" Type="http://schemas.openxmlformats.org/officeDocument/2006/relationships/hyperlink" Target="https://www.qanu.ai/en/glossary/memorandum-of-association" TargetMode="External"/><Relationship Id="rIdgmbhh7eyapdsnohsqoa-m" Type="http://schemas.openxmlformats.org/officeDocument/2006/relationships/hyperlink" Target="https://laws.boe.gov.sa/BoeLaws/Laws/LawDetails/a8376aea-1bc3-49d4-9027-aed900b555af/1" TargetMode="External"/><Relationship Id="rId8rypop0yrto5vxj2el9co" Type="http://schemas.openxmlformats.org/officeDocument/2006/relationships/hyperlink" Target="https://u.ae/en/information-and-services/business/Doing-business/doing-business-on-the-mainland/full-foreign-ownership-of-commercial-companies" TargetMode="External"/><Relationship Id="rId1mtzlee5y5agtmuv0tfya" Type="http://schemas.openxmlformats.org/officeDocument/2006/relationships/hyperlink" Target="https://creativecommons.org/licenses/by/4.0/deed.en" TargetMode="External"/><Relationship Id="rIdd1f0guwrh_qu0yiqicoec" Type="http://schemas.openxmlformats.org/officeDocument/2006/relationships/hyperlink" Target="https://laws.boe.gov.sa/BoeLaws/Laws/LawDetails/a8376aea-1bc3-49d4-9027-aed900b555af/1" TargetMode="External"/><Relationship Id="rIdfjat7aufejrjezbxhdgng" Type="http://schemas.openxmlformats.org/officeDocument/2006/relationships/hyperlink" Target="https://u.ae/en/information-and-services/business/Doing-business/doing-business-on-the-mainland/full-foreign-ownership-of-commercial-companies" TargetMode="External"/><Relationship Id="rIdl86pq9u5sos0x_8gcqir6" Type="http://schemas.openxmlformats.org/officeDocument/2006/relationships/hyperlink" Target="https://uaelegislation.gov.ae/en/legislations/4011" TargetMode="External"/><Relationship Id="rIdbdbc-winv9g2gyucvecqi" Type="http://schemas.openxmlformats.org/officeDocument/2006/relationships/hyperlink" Target="https://u.ae/en/information-and-services/justice-safety-and-the-law/Law/how-are-uae-laws-issued-and-how-to-find-them/where-to-find-uae-federal-laws"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agreement template (GCC, Arabic &amp; English)</dc:title>
  <dc:creator>Qanu</dc:creator>
  <cp:keywords>Partnership agreement, Commercial register,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dc:description>
  <cp:lastModifiedBy>Qanu</cp:lastModifiedBy>
  <cp:revision>1</cp:revision>
  <dcterms:created xsi:type="dcterms:W3CDTF">2026-10-17T19:21:01.831Z</dcterms:created>
  <dcterms:modified xsi:type="dcterms:W3CDTF">2026-10-17T19:21:01.831Z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https://www.qanu.ai/en/templates/partnership-agreement</vt:lpwstr>
  </property>
</Properties>
</file>