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لا تنفذ الوكالة إلا إذا صدرت من القناة الرسمية.</w:t>
      </w:r>
      <w:r>
        <w:rPr>
          <w:rtl/>
        </w:rPr>
        <w:t xml:space="preserve"> في المملكة العربية السعودية تتيح خدمة «إصدار وكالة» إصدار الوكالة إلكترونياً عبر منصة ناجز من غير زيارة كتابة العدل. ومدة الوكالة الإلكترونية لا تتجاوز سنة، ويجوز لأي طرف من أطرافها أن يفسخ نفسه منها جزئياً عبر ناجز أو تطبيق ناجز، وتنفسخ آلياً عند وفاة أحد أطرافها.</w:t>
      </w:r>
      <w:r>
        <w:rPr>
          <w:rtl/>
        </w:rPr>
        <w:t xml:space="preserve"> [1]</w:t>
      </w:r>
      <w:r>
        <w:rPr>
          <w:rtl/>
        </w:rPr>
        <w:t xml:space="preserve"> صيغوا النص هنا ثم أصدروه عبر ناجز. وفي أبوظبي يتولى الكاتب العدل لدى دائرة القضاء توثيق المحررات، وللدائرة مكتب لخدمات التوثيق باللغة الإنجليزية.</w:t>
      </w:r>
      <w:r>
        <w:rPr>
          <w:rtl/>
        </w:rPr>
        <w:t xml:space="preserve"> [5]</w:t>
      </w:r>
      <w:r>
        <w:rPr>
          <w:rtl/>
        </w:rPr>
        <w:t xml:space="preserve"> وتحققوا من الكاتب العدل في الإمارة التي ستُستعمل فيها الوكالة. وتنشر وزارة العدل الإماراتية صفحة لنظام الكاتب العدل الإلكتروني.</w:t>
      </w:r>
      <w:r>
        <w:rPr>
          <w:rtl/>
        </w:rPr>
        <w:t xml:space="preserve"> [6]</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إصدار وكالة: </w:t>
      </w:r>
      <w:hyperlink w:history="1" r:id="rId9numqdxfh-qzkavqknnu0">
        <w:r>
          <w:rPr>
            <w:rStyle w:val="Hyperlink"/>
            <w:sz w:val="17"/>
            <w:szCs w:val="17"/>
          </w:rPr>
          <w:t xml:space="preserve">‪https://www.moj.gov.sa/ar/eServices/pages/3472d517-7cb4-4cd5-a6bc-2abc9751eea3.aspx‬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منصة ناجز: </w:t>
      </w:r>
      <w:hyperlink w:history="1" r:id="rIdg1x7ggkgkurxcwnsoytd2">
        <w:r>
          <w:rPr>
            <w:rStyle w:val="Hyperlink"/>
            <w:sz w:val="17"/>
            <w:szCs w:val="17"/>
          </w:rPr>
          <w:t xml:space="preserve">‪https://najiz.sa/applications/landing‬</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الكاتب العدل في أبوظبي: </w:t>
      </w:r>
      <w:hyperlink w:history="1" r:id="rIdhmjrjvhde3b8ki7fde9vj">
        <w:r>
          <w:rPr>
            <w:rStyle w:val="Hyperlink"/>
            <w:sz w:val="17"/>
            <w:szCs w:val="17"/>
          </w:rPr>
          <w:t xml:space="preserve">‪https://www.adjd.gov.ae/EN/Pages/notarypublics.aspx‬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الكاتب العدل الإلكتروني: </w:t>
      </w:r>
      <w:hyperlink w:history="1" r:id="rIdzj9czogrhetnnte5knh4h">
        <w:r>
          <w:rPr>
            <w:rStyle w:val="Hyperlink"/>
            <w:sz w:val="17"/>
            <w:szCs w:val="17"/>
          </w:rPr>
          <w:t xml:space="preserve">‪https://www.moj.gov.ae/en/services/esystems/e-notary.aspx‬</w:t>
        </w:r>
      </w:hyperlink>
    </w:p>
    <w:p>
      <w:pPr>
        <w:bidi/>
        <w:spacing w:after="240"/>
      </w:pPr>
    </w:p>
    <w:p>
      <w:pPr>
        <w:pStyle w:val="Title"/>
        <w:bidi/>
      </w:pPr>
      <w:r>
        <w:rPr>
          <w:rtl/>
        </w:rPr>
        <w:t xml:space="preserve">وكالة</w:t>
      </w:r>
    </w:p>
    <w:p>
      <w:pPr>
        <w:bidi/>
        <w:spacing w:after="240"/>
      </w:pPr>
      <w:r>
        <w:rPr>
          <w:color w:val="444444"/>
          <w:rtl/>
        </w:rPr>
        <w:t xml:space="preserve">مسودة وكالة عامة أو خاصة في دول الخليج: الأطراف، وبنود الصلاحيات، والقيود، والمدة، والعزل. وهي لا تغني عن الوكالة الصادرة من القناة الرسمية.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واحذفوا الخيار الذي لا ينطبق.</w:t>
      </w:r>
    </w:p>
    <w:p>
      <w:pPr>
        <w:pStyle w:val="Heading1"/>
        <w:bidi/>
      </w:pPr>
      <w:commentRangeStart w:id="0"/>
      <w:r>
        <w:rPr>
          <w:rtl/>
        </w:rPr>
        <w:t xml:space="preserve">البند (1): الأطراف</w:t>
      </w:r>
      <w:commentRangeEnd w:id="0"/>
      <w:r>
        <w:rPr>
          <w:rtl/>
        </w:rPr>
        <w:commentReference w:id="0"/>
      </w:r>
    </w:p>
    <w:p>
      <w:pPr>
        <w:bidi/>
      </w:pPr>
      <w:r>
        <w:rPr>
          <w:rtl/>
        </w:rPr>
        <w:t xml:space="preserve">أنا </w:t>
      </w:r>
      <w:r>
        <w:rPr>
          <w:highlight w:val="yellow"/>
          <w:rtl/>
        </w:rPr>
        <w:t xml:space="preserve">[</w:t>
      </w:r>
      <w:r>
        <w:rPr>
          <w:highlight w:val="yellow"/>
          <w:rtl/>
        </w:rPr>
        <w:t xml:space="preserve">الموكِّل: الاسم، رقم الهوية، العنوان</w:t>
      </w:r>
      <w:r>
        <w:rPr>
          <w:highlight w:val="yellow"/>
          <w:rtl/>
        </w:rPr>
        <w:t xml:space="preserve">]</w:t>
      </w:r>
      <w:r>
        <w:rPr>
          <w:rtl/>
        </w:rPr>
        <w:t xml:space="preserve">، وأنا بكامل الأهلية، أوكّل </w:t>
      </w:r>
      <w:r>
        <w:rPr>
          <w:highlight w:val="yellow"/>
          <w:rtl/>
        </w:rPr>
        <w:t xml:space="preserve">[</w:t>
      </w:r>
      <w:r>
        <w:rPr>
          <w:highlight w:val="yellow"/>
          <w:rtl/>
        </w:rPr>
        <w:t xml:space="preserve">الوكيل: الاسم، رقم الهوية، العنوان</w:t>
      </w:r>
      <w:r>
        <w:rPr>
          <w:highlight w:val="yellow"/>
          <w:rtl/>
        </w:rPr>
        <w:t xml:space="preserve">]</w:t>
      </w:r>
      <w:r>
        <w:rPr>
          <w:rtl/>
        </w:rPr>
        <w:t xml:space="preserve"> ليقوم مقامي في حدود هذه الوكالة.</w:t>
      </w:r>
    </w:p>
    <w:p>
      <w:pPr>
        <w:bidi/>
      </w:pPr>
      <w:r>
        <w:rPr>
          <w:rtl/>
        </w:rPr>
        <w:t xml:space="preserve">صفة الموكِّل: </w:t>
      </w:r>
      <w:r>
        <w:rPr>
          <w:highlight w:val="yellow"/>
          <w:rtl/>
        </w:rPr>
        <w:t xml:space="preserve">[</w:t>
      </w:r>
      <w:r>
        <w:rPr>
          <w:highlight w:val="yellow"/>
          <w:rtl/>
        </w:rPr>
        <w:t xml:space="preserve">أصالة عن نفسه / وكيل بموجب وكالة / مالك مؤسسة / ممثل شركة</w:t>
      </w:r>
      <w:r>
        <w:rPr>
          <w:highlight w:val="yellow"/>
          <w:rtl/>
        </w:rPr>
        <w:t xml:space="preserve">]</w:t>
      </w:r>
      <w:r>
        <w:rPr>
          <w:rtl/>
        </w:rPr>
        <w:t xml:space="preserve">.</w:t>
      </w:r>
    </w:p>
    <w:p>
      <w:pPr>
        <w:pStyle w:val="Heading1"/>
        <w:bidi/>
      </w:pPr>
      <w:commentRangeStart w:id="1"/>
      <w:r>
        <w:rPr>
          <w:rtl/>
        </w:rPr>
        <w:t xml:space="preserve">البند (2): نوع الوكالة</w:t>
      </w:r>
      <w:commentRangeEnd w:id="1"/>
      <w:r>
        <w:rPr>
          <w:rtl/>
        </w:rPr>
        <w:commentReference w:id="1"/>
      </w:r>
    </w:p>
    <w:p>
      <w:pPr>
        <w:bidi/>
      </w:pPr>
      <w:r>
        <w:rPr>
          <w:b/>
          <w:bCs/>
          <w:rtl/>
        </w:rPr>
        <w:t xml:space="preserve">خيار — وكالة عامة:</w:t>
      </w:r>
      <w:r>
        <w:rPr>
          <w:rtl/>
        </w:rPr>
        <w:t xml:space="preserve"> يباشر الوكيل التصرفات الآتية في حدود البند (3)، ما لم يُستثنَ تصرف في البند (4).</w:t>
      </w:r>
    </w:p>
    <w:p>
      <w:pPr>
        <w:bidi/>
      </w:pPr>
      <w:r>
        <w:rPr>
          <w:b/>
          <w:bCs/>
          <w:rtl/>
        </w:rPr>
        <w:t xml:space="preserve">خيار — وكالة خاصة:</w:t>
      </w:r>
      <w:r>
        <w:rPr>
          <w:rtl/>
        </w:rPr>
        <w:t xml:space="preserve"> تقتصر الوكالة على هذا التصرف: </w:t>
      </w:r>
      <w:r>
        <w:rPr>
          <w:highlight w:val="yellow"/>
          <w:rtl/>
        </w:rPr>
        <w:t xml:space="preserve">[</w:t>
      </w:r>
      <w:r>
        <w:rPr>
          <w:highlight w:val="yellow"/>
          <w:rtl/>
        </w:rPr>
        <w:t xml:space="preserve">صفوا التصرف أو المعاملة تحديداً</w:t>
      </w:r>
      <w:r>
        <w:rPr>
          <w:highlight w:val="yellow"/>
          <w:rtl/>
        </w:rPr>
        <w:t xml:space="preserve">]</w:t>
      </w:r>
      <w:r>
        <w:rPr>
          <w:rtl/>
        </w:rPr>
        <w:t xml:space="preserve">.</w:t>
      </w:r>
    </w:p>
    <w:p>
      <w:pPr>
        <w:pStyle w:val="Heading1"/>
        <w:bidi/>
      </w:pPr>
      <w:commentRangeStart w:id="2"/>
      <w:r>
        <w:rPr>
          <w:rtl/>
        </w:rPr>
        <w:t xml:space="preserve">البند (3): نطاق الصلاحيات</w:t>
      </w:r>
      <w:commentRangeEnd w:id="2"/>
      <w:r>
        <w:rPr>
          <w:rtl/>
        </w:rPr>
        <w:commentReference w:id="2"/>
      </w:r>
    </w:p>
    <w:p>
      <w:pPr>
        <w:bidi/>
      </w:pPr>
      <w:r>
        <w:rPr>
          <w:rtl/>
        </w:rPr>
        <w:t xml:space="preserve">يمارس الوكيل الصلاحيات المؤشر عليها في الملحق (1) فقط، وفي الحدود المكتوبة قرين كل صلاحية.</w:t>
      </w:r>
    </w:p>
    <w:p>
      <w:pPr>
        <w:pStyle w:val="Heading1"/>
        <w:bidi/>
      </w:pPr>
      <w:commentRangeStart w:id="3"/>
      <w:r>
        <w:rPr>
          <w:rtl/>
        </w:rPr>
        <w:t xml:space="preserve">البند (4): القيود والتصرفات المستثناة</w:t>
      </w:r>
      <w:commentRangeEnd w:id="3"/>
      <w:r>
        <w:rPr>
          <w:rtl/>
        </w:rPr>
        <w:commentReference w:id="3"/>
      </w:r>
    </w:p>
    <w:p>
      <w:pPr>
        <w:bidi/>
      </w:pPr>
      <w:r>
        <w:rPr>
          <w:rtl/>
        </w:rPr>
        <w:t xml:space="preserve">لا يملك الوكيل: </w:t>
      </w:r>
      <w:r>
        <w:rPr>
          <w:highlight w:val="yellow"/>
          <w:rtl/>
        </w:rPr>
        <w:t xml:space="preserve">[</w:t>
      </w:r>
      <w:r>
        <w:rPr>
          <w:highlight w:val="yellow"/>
          <w:rtl/>
        </w:rPr>
        <w:t xml:space="preserve">الهبة / الإبراء / الصلح / التنازل عن حق / التصرف في عقار / الاقتراض / ما يُستثنى</w:t>
      </w:r>
      <w:r>
        <w:rPr>
          <w:highlight w:val="yellow"/>
          <w:rtl/>
        </w:rPr>
        <w:t xml:space="preserve">]</w:t>
      </w:r>
      <w:r>
        <w:rPr>
          <w:rtl/>
        </w:rPr>
        <w:t xml:space="preserve">. وكل ما لم يُذكر في البند (3) والملحق (1) فهو خارج الوكالة.</w:t>
      </w:r>
    </w:p>
    <w:p>
      <w:pPr>
        <w:pStyle w:val="Heading1"/>
        <w:bidi/>
      </w:pPr>
      <w:commentRangeStart w:id="4"/>
      <w:r>
        <w:rPr>
          <w:rtl/>
        </w:rPr>
        <w:t xml:space="preserve">البند (5): حق توكيل الغير</w:t>
      </w:r>
      <w:commentRangeEnd w:id="4"/>
      <w:r>
        <w:rPr>
          <w:rtl/>
        </w:rPr>
        <w:commentReference w:id="4"/>
      </w:r>
    </w:p>
    <w:p>
      <w:pPr>
        <w:bidi/>
      </w:pPr>
      <w:r>
        <w:rPr>
          <w:b/>
          <w:bCs/>
          <w:rtl/>
        </w:rPr>
        <w:t xml:space="preserve">خيار:</w:t>
      </w:r>
      <w:r>
        <w:rPr>
          <w:rtl/>
        </w:rPr>
        <w:t xml:space="preserve"> لا يجوز للوكيل أن يوكّل غيره.</w:t>
      </w:r>
    </w:p>
    <w:p>
      <w:pPr>
        <w:bidi/>
      </w:pPr>
      <w:r>
        <w:rPr>
          <w:b/>
          <w:bCs/>
          <w:rtl/>
        </w:rPr>
        <w:t xml:space="preserve">خيار:</w:t>
      </w:r>
      <w:r>
        <w:rPr>
          <w:rtl/>
        </w:rPr>
        <w:t xml:space="preserve"> يجوز للوكيل أن يوكّل غيره في </w:t>
      </w:r>
      <w:r>
        <w:rPr>
          <w:highlight w:val="yellow"/>
          <w:rtl/>
        </w:rPr>
        <w:t xml:space="preserve">[</w:t>
      </w:r>
      <w:r>
        <w:rPr>
          <w:highlight w:val="yellow"/>
          <w:rtl/>
        </w:rPr>
        <w:t xml:space="preserve">حدود التوكيل</w:t>
      </w:r>
      <w:r>
        <w:rPr>
          <w:highlight w:val="yellow"/>
          <w:rtl/>
        </w:rPr>
        <w:t xml:space="preserve">]</w:t>
      </w:r>
      <w:r>
        <w:rPr>
          <w:rtl/>
        </w:rPr>
        <w:t xml:space="preserve">، ويبقى الوكيل مسؤولاً عن اختيار من يوكّله.</w:t>
      </w:r>
    </w:p>
    <w:p>
      <w:pPr>
        <w:pStyle w:val="Heading1"/>
        <w:bidi/>
      </w:pPr>
      <w:commentRangeStart w:id="5"/>
      <w:r>
        <w:rPr>
          <w:rtl/>
        </w:rPr>
        <w:t xml:space="preserve">البند (6): المدة والانتهاء</w:t>
      </w:r>
      <w:commentRangeEnd w:id="5"/>
      <w:r>
        <w:rPr>
          <w:rtl/>
        </w:rPr>
        <w:commentReference w:id="5"/>
      </w:r>
    </w:p>
    <w:p>
      <w:pPr>
        <w:bidi/>
      </w:pPr>
      <w:r>
        <w:rPr>
          <w:rtl/>
        </w:rPr>
        <w:t xml:space="preserve">تسري هذه الوكالة من </w:t>
      </w:r>
      <w:r>
        <w:rPr>
          <w:highlight w:val="yellow"/>
          <w:rtl/>
        </w:rPr>
        <w:t xml:space="preserve">[</w:t>
      </w:r>
      <w:r>
        <w:rPr>
          <w:highlight w:val="yellow"/>
          <w:rtl/>
        </w:rPr>
        <w:t xml:space="preserve">التاريخ</w:t>
      </w:r>
      <w:r>
        <w:rPr>
          <w:highlight w:val="yellow"/>
          <w:rtl/>
        </w:rPr>
        <w:t xml:space="preserve">]</w:t>
      </w:r>
      <w:r>
        <w:rPr>
          <w:rtl/>
        </w:rPr>
        <w:t xml:space="preserve"> حتى </w:t>
      </w:r>
      <w:r>
        <w:rPr>
          <w:highlight w:val="yellow"/>
          <w:rtl/>
        </w:rPr>
        <w:t xml:space="preserve">[</w:t>
      </w:r>
      <w:r>
        <w:rPr>
          <w:highlight w:val="yellow"/>
          <w:rtl/>
        </w:rPr>
        <w:t xml:space="preserve">التاريخ أو الواقعة</w:t>
      </w:r>
      <w:r>
        <w:rPr>
          <w:highlight w:val="yellow"/>
          <w:rtl/>
        </w:rPr>
        <w:t xml:space="preserve">]</w:t>
      </w:r>
      <w:r>
        <w:rPr>
          <w:rtl/>
        </w:rPr>
        <w:t xml:space="preserve">، ما لم تنتهِ قبل ذلك بالعزل أو بالفسخ أو بالوفاة.</w:t>
      </w:r>
    </w:p>
    <w:p>
      <w:pPr>
        <w:pStyle w:val="Heading1"/>
        <w:bidi/>
      </w:pPr>
      <w:commentRangeStart w:id="6"/>
      <w:r>
        <w:rPr>
          <w:rtl/>
        </w:rPr>
        <w:t xml:space="preserve">البند (7): العزل والفسخ</w:t>
      </w:r>
      <w:commentRangeEnd w:id="6"/>
      <w:r>
        <w:rPr>
          <w:rtl/>
        </w:rPr>
        <w:commentReference w:id="6"/>
      </w:r>
    </w:p>
    <w:p>
      <w:pPr>
        <w:bidi/>
      </w:pPr>
      <w:r>
        <w:rPr>
          <w:rtl/>
        </w:rPr>
        <w:t xml:space="preserve">للموكِّل عزل الوكيل بإخطار مكتوب. وللوكيل أن يتنحى بإخطار مكتوب. ويُبلَّغ الطرف الآخر والغير الذي يتعامل مع الوكيل كلما أمكن ذلك.</w:t>
      </w:r>
    </w:p>
    <w:p>
      <w:pPr>
        <w:pStyle w:val="Heading1"/>
        <w:bidi/>
      </w:pPr>
      <w:commentRangeStart w:id="7"/>
      <w:r>
        <w:rPr>
          <w:rtl/>
        </w:rPr>
        <w:t xml:space="preserve">البند (8): ملاحظة الاستعمال</w:t>
      </w:r>
      <w:commentRangeEnd w:id="7"/>
      <w:r>
        <w:rPr>
          <w:rtl/>
        </w:rPr>
        <w:commentReference w:id="7"/>
      </w:r>
    </w:p>
    <w:p>
      <w:pPr>
        <w:bidi/>
      </w:pPr>
      <w:r>
        <w:rPr>
          <w:rtl/>
        </w:rPr>
        <w:t xml:space="preserve">هذه المسودة لضبط الصياغة. والوكالة المعمول بها هي الصادرة عبر ناجز أو لدى الكاتب العدل المختص. وإذا تعارض النص العربي والنص الإنجليزي فيعتمد النص العربي في المملكة.</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الموكِّل: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الهوية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الوكيل: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الهوية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عن المملكة العربية السعودية</w:t>
      </w:r>
    </w:p>
    <w:p>
      <w:pPr>
        <w:bidi/>
      </w:pPr>
      <w:r>
        <w:rPr>
          <w:rtl/>
        </w:rPr>
        <w:t xml:space="preserve">ما تقوله بطاقة خدمة «إصدار وكالة» في وزارة العدل. ولم يُقرأ نص نظام المعاملات المدنية من هذه الشبكة، فلا تُذكر أرقام مواد.</w:t>
      </w:r>
      <w:r>
        <w:rPr>
          <w:rtl/>
        </w:rPr>
        <w:t xml:space="preserve"> [1][4]</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ورد في البطاقة</w:t>
            </w:r>
          </w:p>
        </w:tc>
      </w:tr>
      <w:tr>
        <w:trPr>
          <w:cantSplit/>
        </w:trPr>
        <w:tc>
          <w:tcPr>
            <w:tcMar>
              <w:top w:type="dxa" w:w="80"/>
              <w:left w:type="dxa" w:w="100"/>
              <w:bottom w:type="dxa" w:w="80"/>
              <w:right w:type="dxa" w:w="100"/>
            </w:tcMar>
          </w:tcPr>
          <w:p>
            <w:pPr>
              <w:bidi/>
              <w:spacing w:after="0"/>
            </w:pPr>
            <w:r>
              <w:rPr>
                <w:b w:val="false"/>
                <w:sz w:val="18"/>
                <w:szCs w:val="18"/>
                <w:rtl/>
              </w:rPr>
              <w:t xml:space="preserve">الإصدار</w:t>
            </w:r>
          </w:p>
        </w:tc>
        <w:tc>
          <w:tcPr>
            <w:tcMar>
              <w:top w:type="dxa" w:w="80"/>
              <w:left w:type="dxa" w:w="100"/>
              <w:bottom w:type="dxa" w:w="80"/>
              <w:right w:type="dxa" w:w="100"/>
            </w:tcMar>
          </w:tcPr>
          <w:p>
            <w:pPr>
              <w:bidi/>
              <w:spacing w:after="0"/>
            </w:pPr>
            <w:r>
              <w:rPr>
                <w:b w:val="false"/>
                <w:sz w:val="18"/>
                <w:szCs w:val="18"/>
                <w:rtl/>
              </w:rPr>
              <w:t xml:space="preserve">خدمة إلكترونية لإصدار الوكالة مباشرة دون زيارة كتابة العدل، عبر ناجز وبحساب النفاذ الوطني.</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المدة</w:t>
            </w:r>
          </w:p>
        </w:tc>
        <w:tc>
          <w:tcPr>
            <w:tcMar>
              <w:top w:type="dxa" w:w="80"/>
              <w:left w:type="dxa" w:w="100"/>
              <w:bottom w:type="dxa" w:w="80"/>
              <w:right w:type="dxa" w:w="100"/>
            </w:tcMar>
          </w:tcPr>
          <w:p>
            <w:pPr>
              <w:bidi/>
              <w:spacing w:after="0"/>
            </w:pPr>
            <w:r>
              <w:rPr>
                <w:b w:val="false"/>
                <w:sz w:val="18"/>
                <w:szCs w:val="18"/>
                <w:rtl/>
              </w:rPr>
              <w:t xml:space="preserve">مدة الوكالة الإلكترونية لا تتجاوز سنة.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الفسخ</w:t>
            </w:r>
          </w:p>
        </w:tc>
        <w:tc>
          <w:tcPr>
            <w:tcMar>
              <w:top w:type="dxa" w:w="80"/>
              <w:left w:type="dxa" w:w="100"/>
              <w:bottom w:type="dxa" w:w="80"/>
              <w:right w:type="dxa" w:w="100"/>
            </w:tcMar>
          </w:tcPr>
          <w:p>
            <w:pPr>
              <w:bidi/>
              <w:spacing w:after="0"/>
            </w:pPr>
            <w:r>
              <w:rPr>
                <w:b w:val="false"/>
                <w:sz w:val="18"/>
                <w:szCs w:val="18"/>
                <w:rtl/>
              </w:rPr>
              <w:t xml:space="preserve">يجوز لأي طرف فسخ نفسه جزئياً إلكترونياً عبر البوابة أو التطبيق.</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الوفاة</w:t>
            </w:r>
          </w:p>
        </w:tc>
        <w:tc>
          <w:tcPr>
            <w:tcMar>
              <w:top w:type="dxa" w:w="80"/>
              <w:left w:type="dxa" w:w="100"/>
              <w:bottom w:type="dxa" w:w="80"/>
              <w:right w:type="dxa" w:w="100"/>
            </w:tcMar>
          </w:tcPr>
          <w:p>
            <w:pPr>
              <w:bidi/>
              <w:spacing w:after="0"/>
            </w:pPr>
            <w:r>
              <w:rPr>
                <w:b w:val="false"/>
                <w:sz w:val="18"/>
                <w:szCs w:val="18"/>
                <w:rtl/>
              </w:rPr>
              <w:t xml:space="preserve">تُفسخ الوكالة آلياً عند وفاة أحد أطرافها.</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الشكل</w:t>
            </w:r>
          </w:p>
        </w:tc>
        <w:tc>
          <w:tcPr>
            <w:tcMar>
              <w:top w:type="dxa" w:w="80"/>
              <w:left w:type="dxa" w:w="100"/>
              <w:bottom w:type="dxa" w:w="80"/>
              <w:right w:type="dxa" w:w="100"/>
            </w:tcMar>
          </w:tcPr>
          <w:p>
            <w:pPr>
              <w:bidi/>
              <w:spacing w:after="0"/>
            </w:pPr>
            <w:r>
              <w:rPr>
                <w:b w:val="false"/>
                <w:sz w:val="18"/>
                <w:szCs w:val="18"/>
                <w:rtl/>
              </w:rPr>
              <w:t xml:space="preserve">الوكالة إلكترونية، ولا تتطلب طباعتها أو ختمها أو التوقيع عليها ورقياً.</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صحيفة الدعوى</w:t>
            </w:r>
          </w:p>
        </w:tc>
        <w:tc>
          <w:tcPr>
            <w:tcMar>
              <w:top w:type="dxa" w:w="80"/>
              <w:left w:type="dxa" w:w="100"/>
              <w:bottom w:type="dxa" w:w="80"/>
              <w:right w:type="dxa" w:w="100"/>
            </w:tcMar>
          </w:tcPr>
          <w:p>
            <w:pPr>
              <w:bidi/>
              <w:spacing w:after="0"/>
            </w:pPr>
            <w:r>
              <w:rPr>
                <w:b w:val="false"/>
                <w:sz w:val="18"/>
                <w:szCs w:val="18"/>
                <w:rtl/>
              </w:rPr>
              <w:t xml:space="preserve">إذا كان مقدم الصحيفة وكيلاً، فيلزم وكالة سارية تتضمن بند المرافعة.</w:t>
            </w:r>
            <w:r>
              <w:rPr>
                <w:b w:val="false"/>
                <w:sz w:val="18"/>
                <w:szCs w:val="18"/>
                <w:rtl/>
              </w:rPr>
              <w:t xml:space="preserve"> [3]</w:t>
            </w:r>
          </w:p>
        </w:tc>
      </w:tr>
    </w:tbl>
    <w:p>
      <w:pPr>
        <w:bidi/>
      </w:pPr>
    </w:p>
    <w:p>
      <w:pPr>
        <w:pStyle w:val="Heading1"/>
        <w:pageBreakBefore/>
        <w:bidi/>
      </w:pPr>
      <w:r>
        <w:rPr>
          <w:rtl/>
        </w:rPr>
        <w:t xml:space="preserve">ملاحظات عن الإمارات العربية المتحدة</w:t>
      </w:r>
    </w:p>
    <w:p>
      <w:pPr>
        <w:bidi/>
      </w:pPr>
      <w:r>
        <w:rPr>
          <w:rtl/>
        </w:rPr>
        <w:t xml:space="preserve">ما قرئ في صفحة الكاتب العدل لدى دائرة القضاء في أبوظبي. ولم تُقرأ صفحة الكاتب العدل الإلكتروني الاتحادية (أعادت الخادم خطأ)، فيُبقى رابطها من غير وصف لإجراءاتها.</w:t>
      </w:r>
      <w:r>
        <w:rPr>
          <w:rtl/>
        </w:rPr>
        <w:t xml:space="preserve"> [5][6]</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يُعمل به هنا</w:t>
            </w:r>
          </w:p>
        </w:tc>
      </w:tr>
      <w:tr>
        <w:trPr>
          <w:cantSplit/>
        </w:trPr>
        <w:tc>
          <w:tcPr>
            <w:tcMar>
              <w:top w:type="dxa" w:w="80"/>
              <w:left w:type="dxa" w:w="100"/>
              <w:bottom w:type="dxa" w:w="80"/>
              <w:right w:type="dxa" w:w="100"/>
            </w:tcMar>
          </w:tcPr>
          <w:p>
            <w:pPr>
              <w:bidi/>
              <w:spacing w:after="0"/>
            </w:pPr>
            <w:r>
              <w:rPr>
                <w:b w:val="false"/>
                <w:sz w:val="18"/>
                <w:szCs w:val="18"/>
                <w:rtl/>
              </w:rPr>
              <w:t xml:space="preserve">أبوظبي</w:t>
            </w:r>
          </w:p>
        </w:tc>
        <w:tc>
          <w:tcPr>
            <w:tcMar>
              <w:top w:type="dxa" w:w="80"/>
              <w:left w:type="dxa" w:w="100"/>
              <w:bottom w:type="dxa" w:w="80"/>
              <w:right w:type="dxa" w:w="100"/>
            </w:tcMar>
          </w:tcPr>
          <w:p>
            <w:pPr>
              <w:bidi/>
              <w:spacing w:after="0"/>
            </w:pPr>
            <w:r>
              <w:rPr>
                <w:b w:val="false"/>
                <w:sz w:val="18"/>
                <w:szCs w:val="18"/>
                <w:rtl/>
              </w:rPr>
              <w:t xml:space="preserve">الكاتب العدل هو من تعتمده دائرة القضاء أو ترخّصه لتوثيق المحررات العرفية، ويشمل الكاتب العدل والكاتب العدل الخاص والكاتب العدل الحكومي.</w:t>
            </w:r>
            <w:r>
              <w:rPr>
                <w:b w:val="false"/>
                <w:sz w:val="18"/>
                <w:szCs w:val="18"/>
                <w:rtl/>
              </w:rPr>
              <w:t xml:space="preserve"> [5]</w:t>
            </w:r>
          </w:p>
        </w:tc>
      </w:tr>
      <w:tr>
        <w:trPr>
          <w:cantSplit/>
        </w:trPr>
        <w:tc>
          <w:tcPr>
            <w:tcMar>
              <w:top w:type="dxa" w:w="80"/>
              <w:left w:type="dxa" w:w="100"/>
              <w:bottom w:type="dxa" w:w="80"/>
              <w:right w:type="dxa" w:w="100"/>
            </w:tcMar>
          </w:tcPr>
          <w:p>
            <w:pPr>
              <w:bidi/>
              <w:spacing w:after="0"/>
            </w:pPr>
            <w:r>
              <w:rPr>
                <w:b w:val="false"/>
                <w:sz w:val="18"/>
                <w:szCs w:val="18"/>
                <w:rtl/>
              </w:rPr>
              <w:t xml:space="preserve">قانون أبوظبي</w:t>
            </w:r>
          </w:p>
        </w:tc>
        <w:tc>
          <w:tcPr>
            <w:tcMar>
              <w:top w:type="dxa" w:w="80"/>
              <w:left w:type="dxa" w:w="100"/>
              <w:bottom w:type="dxa" w:w="80"/>
              <w:right w:type="dxa" w:w="100"/>
            </w:tcMar>
          </w:tcPr>
          <w:p>
            <w:pPr>
              <w:bidi/>
              <w:spacing w:after="0"/>
            </w:pPr>
            <w:r>
              <w:rPr>
                <w:b w:val="false"/>
                <w:sz w:val="18"/>
                <w:szCs w:val="18"/>
                <w:rtl/>
              </w:rPr>
              <w:t xml:space="preserve">تشير الصفحة إلى المادة (1) من القانون رقم (11) لسنة 2017 بشأن الكاتب العدل في إمارة أبوظبي: لا يوثَّق محرر يخالف القانون أو النظام العام، أو يدخل في اختصاص جهة أخرى، أو في محظورات الكاتب العدل.</w:t>
            </w:r>
            <w:r>
              <w:rPr>
                <w:b w:val="false"/>
                <w:sz w:val="18"/>
                <w:szCs w:val="18"/>
                <w:rtl/>
              </w:rPr>
              <w:t xml:space="preserve"> [5]</w:t>
            </w:r>
          </w:p>
        </w:tc>
      </w:tr>
      <w:tr>
        <w:trPr>
          <w:cantSplit/>
        </w:trPr>
        <w:tc>
          <w:tcPr>
            <w:tcMar>
              <w:top w:type="dxa" w:w="80"/>
              <w:left w:type="dxa" w:w="100"/>
              <w:bottom w:type="dxa" w:w="80"/>
              <w:right w:type="dxa" w:w="100"/>
            </w:tcMar>
          </w:tcPr>
          <w:p>
            <w:pPr>
              <w:bidi/>
              <w:spacing w:after="0"/>
            </w:pPr>
            <w:r>
              <w:rPr>
                <w:b w:val="false"/>
                <w:sz w:val="18"/>
                <w:szCs w:val="18"/>
                <w:rtl/>
              </w:rPr>
              <w:t xml:space="preserve">الإنجليزية</w:t>
            </w:r>
          </w:p>
        </w:tc>
        <w:tc>
          <w:tcPr>
            <w:tcMar>
              <w:top w:type="dxa" w:w="80"/>
              <w:left w:type="dxa" w:w="100"/>
              <w:bottom w:type="dxa" w:w="80"/>
              <w:right w:type="dxa" w:w="100"/>
            </w:tcMar>
          </w:tcPr>
          <w:p>
            <w:pPr>
              <w:bidi/>
              <w:spacing w:after="0"/>
            </w:pPr>
            <w:r>
              <w:rPr>
                <w:b w:val="false"/>
                <w:sz w:val="18"/>
                <w:szCs w:val="18"/>
                <w:rtl/>
              </w:rPr>
              <w:t xml:space="preserve">لدائرة القضاء مكتب لخدمات التوثيق باللغة الإنجليزية.</w:t>
            </w:r>
            <w:r>
              <w:rPr>
                <w:b w:val="false"/>
                <w:sz w:val="18"/>
                <w:szCs w:val="18"/>
                <w:rtl/>
              </w:rPr>
              <w:t xml:space="preserve"> [5]</w:t>
            </w:r>
          </w:p>
        </w:tc>
      </w:tr>
      <w:tr>
        <w:trPr>
          <w:cantSplit/>
        </w:trPr>
        <w:tc>
          <w:tcPr>
            <w:tcMar>
              <w:top w:type="dxa" w:w="80"/>
              <w:left w:type="dxa" w:w="100"/>
              <w:bottom w:type="dxa" w:w="80"/>
              <w:right w:type="dxa" w:w="100"/>
            </w:tcMar>
          </w:tcPr>
          <w:p>
            <w:pPr>
              <w:bidi/>
              <w:spacing w:after="0"/>
            </w:pPr>
            <w:r>
              <w:rPr>
                <w:b w:val="false"/>
                <w:sz w:val="18"/>
                <w:szCs w:val="18"/>
                <w:rtl/>
              </w:rPr>
              <w:t xml:space="preserve">ما لا يُذكر</w:t>
            </w:r>
          </w:p>
        </w:tc>
        <w:tc>
          <w:tcPr>
            <w:tcMar>
              <w:top w:type="dxa" w:w="80"/>
              <w:left w:type="dxa" w:w="100"/>
              <w:bottom w:type="dxa" w:w="80"/>
              <w:right w:type="dxa" w:w="100"/>
            </w:tcMar>
          </w:tcPr>
          <w:p>
            <w:pPr>
              <w:bidi/>
              <w:spacing w:after="0"/>
            </w:pPr>
            <w:r>
              <w:rPr>
                <w:b w:val="false"/>
                <w:sz w:val="18"/>
                <w:szCs w:val="18"/>
                <w:rtl/>
              </w:rPr>
              <w:t xml:space="preserve">لا تبيّن هذه الصفحة لغة الوكالة في الإمارات، ولا قواعد ترجمة الوكالة الأجنبية أو تصديقها.</w:t>
            </w:r>
          </w:p>
        </w:tc>
      </w:tr>
    </w:tbl>
    <w:p>
      <w:pPr>
        <w:bidi/>
      </w:pPr>
    </w:p>
    <w:p>
      <w:pPr>
        <w:pStyle w:val="Heading1"/>
        <w:pageBreakBefore/>
        <w:bidi/>
      </w:pPr>
      <w:r>
        <w:rPr>
          <w:rtl/>
        </w:rPr>
        <w:t xml:space="preserve">الملحق (1): قائمة الصلاحيات</w:t>
      </w:r>
    </w:p>
    <w:p>
      <w:pPr>
        <w:bidi/>
      </w:pPr>
      <w:r>
        <w:rPr>
          <w:rtl/>
        </w:rPr>
        <w:t xml:space="preserve">ضعوا «نعم» أمام ما تريدون إصداره، واكتبوا حدّه. أضيفوا صفاً لكل تصرف خاص.</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الصلاحية</w:t>
            </w:r>
          </w:p>
        </w:tc>
        <w:tc>
          <w:tcPr>
            <w:shd w:fill="EDEDED" w:color="auto" w:val="clear"/>
            <w:tcMar>
              <w:top w:type="dxa" w:w="80"/>
              <w:left w:type="dxa" w:w="100"/>
              <w:bottom w:type="dxa" w:w="80"/>
              <w:right w:type="dxa" w:w="100"/>
            </w:tcMar>
          </w:tcPr>
          <w:p>
            <w:pPr>
              <w:bidi/>
              <w:spacing w:after="0"/>
            </w:pPr>
            <w:r>
              <w:rPr>
                <w:b/>
                <w:bCs/>
                <w:sz w:val="18"/>
                <w:szCs w:val="18"/>
                <w:rtl/>
              </w:rPr>
              <w:t xml:space="preserve">مشمولة</w:t>
            </w:r>
          </w:p>
        </w:tc>
        <w:tc>
          <w:tcPr>
            <w:shd w:fill="EDEDED" w:color="auto" w:val="clear"/>
            <w:tcMar>
              <w:top w:type="dxa" w:w="80"/>
              <w:left w:type="dxa" w:w="100"/>
              <w:bottom w:type="dxa" w:w="80"/>
              <w:right w:type="dxa" w:w="100"/>
            </w:tcMar>
          </w:tcPr>
          <w:p>
            <w:pPr>
              <w:bidi/>
              <w:spacing w:after="0"/>
            </w:pPr>
            <w:r>
              <w:rPr>
                <w:b/>
                <w:bCs/>
                <w:sz w:val="18"/>
                <w:szCs w:val="18"/>
                <w:rtl/>
              </w:rPr>
              <w:t xml:space="preserve">حدّها</w:t>
            </w:r>
          </w:p>
        </w:tc>
      </w:tr>
      <w:tr>
        <w:trPr>
          <w:cantSplit/>
        </w:trPr>
        <w:tc>
          <w:tcPr>
            <w:tcMar>
              <w:top w:type="dxa" w:w="80"/>
              <w:left w:type="dxa" w:w="100"/>
              <w:bottom w:type="dxa" w:w="80"/>
              <w:right w:type="dxa" w:w="100"/>
            </w:tcMar>
          </w:tcPr>
          <w:p>
            <w:pPr>
              <w:bidi/>
              <w:spacing w:after="0"/>
            </w:pPr>
            <w:r>
              <w:rPr>
                <w:b w:val="false"/>
                <w:sz w:val="18"/>
                <w:szCs w:val="18"/>
                <w:rtl/>
              </w:rPr>
              <w:t xml:space="preserve">المعاملات الحكومية</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الجهة أو المعاملة</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البنوك</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الحساب أو العملية</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المحاكم والمطالبات</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الدعوى أو نوع المطالبة</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العقار</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العين أو التصرف</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الشركات</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نعم/لا</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الشركة أو التصرف</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b-i5h7se8eb2_rzg_lxjw">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‪https://www.qanu.ai/ar/نماذج/نموذج-وكالة‬ · آخر مراجعة: 17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وزارة العدل، خدمة «إصدار وكالة» الإلكترونية عبر منصة ناجز </w:t>
      </w:r>
      <w:hyperlink w:history="1" r:id="rId9a0c6j8ccnqn0ydvt1bsz">
        <w:r>
          <w:rPr>
            <w:rStyle w:val="Hyperlink"/>
            <w:sz w:val="16"/>
            <w:szCs w:val="16"/>
          </w:rPr>
          <w:t xml:space="preserve">https://www.moj.gov.sa/ar/eServices/pages/3472d517-7cb4-4cd5-a6bc-2abc9751eea3.aspx</w:t>
        </w:r>
      </w:hyperlink>
    </w:p>
    <w:p>
      <w:pPr>
        <w:bidi/>
        <w:ind w:start="360" w:hanging="360"/>
      </w:pPr>
      <w:r>
        <w:rPr>
          <w:sz w:val="18"/>
          <w:szCs w:val="18"/>
          <w:rtl/>
        </w:rPr>
        <w:t xml:space="preserve">[2] منصة ناجز، بوابة الخدمات الإلكترونية لوزارة العدل </w:t>
      </w:r>
      <w:hyperlink w:history="1" r:id="rIdudvixxw-3y_9utyixk34h">
        <w:r>
          <w:rPr>
            <w:rStyle w:val="Hyperlink"/>
            <w:sz w:val="16"/>
            <w:szCs w:val="16"/>
          </w:rPr>
          <w:t xml:space="preserve">https://najiz.sa/applications/landing</w:t>
        </w:r>
      </w:hyperlink>
    </w:p>
    <w:p>
      <w:pPr>
        <w:bidi/>
        <w:ind w:start="360" w:hanging="360"/>
      </w:pPr>
      <w:r>
        <w:rPr>
          <w:sz w:val="18"/>
          <w:szCs w:val="18"/>
          <w:rtl/>
        </w:rPr>
        <w:t xml:space="preserve">[3] وزارة العدل، خدمة «صحيفة دعوى» الإلكترونية عبر منصة ناجز </w:t>
      </w:r>
      <w:hyperlink w:history="1" r:id="rId5rwrx7va1tymz50yripy0">
        <w:r>
          <w:rPr>
            <w:rStyle w:val="Hyperlink"/>
            <w:sz w:val="16"/>
            <w:szCs w:val="16"/>
          </w:rPr>
          <w:t xml:space="preserve">https://www.moj.gov.sa/ar/eServices/Pages/928b8f02-19a7-482b-ba0e-29a151d9a900.aspx</w:t>
        </w:r>
      </w:hyperlink>
    </w:p>
    <w:p>
      <w:pPr>
        <w:bidi/>
        <w:ind w:start="360" w:hanging="360"/>
      </w:pPr>
      <w:r>
        <w:rPr>
          <w:sz w:val="18"/>
          <w:szCs w:val="18"/>
          <w:rtl/>
        </w:rPr>
        <w:t xml:space="preserve">[4] بوابة الأنظمة بوزارة العدل، نظام المعاملات المدنية الصادر بالمرسوم الملكي رقم (م/191) وتاريخ 29/11/1444هـ </w:t>
      </w:r>
      <w:hyperlink w:history="1" r:id="rId-uvfhucy1ksvruijc6lev">
        <w:r>
          <w:rPr>
            <w:rStyle w:val="Hyperlink"/>
            <w:sz w:val="16"/>
            <w:szCs w:val="16"/>
          </w:rPr>
          <w:t xml:space="preserve">https://laws.moj.gov.sa/ar/legislation/PBbHmywh1XMp-Kyv3NtQLg</w:t>
        </w:r>
      </w:hyperlink>
    </w:p>
    <w:p>
      <w:pPr>
        <w:bidi/>
        <w:ind w:start="360" w:hanging="360"/>
      </w:pPr>
      <w:r>
        <w:rPr>
          <w:sz w:val="18"/>
          <w:szCs w:val="18"/>
          <w:rtl/>
        </w:rPr>
        <w:t xml:space="preserve">[5] دائرة القضاء في أبوظبي، الكاتب العدل </w:t>
      </w:r>
      <w:hyperlink w:history="1" r:id="rIdk51qihwxbpko4pwgfadeo">
        <w:r>
          <w:rPr>
            <w:rStyle w:val="Hyperlink"/>
            <w:sz w:val="16"/>
            <w:szCs w:val="16"/>
          </w:rPr>
          <w:t xml:space="preserve">https://www.adjd.gov.ae/EN/Pages/notarypublics.aspx</w:t>
        </w:r>
      </w:hyperlink>
    </w:p>
    <w:p>
      <w:pPr>
        <w:bidi/>
        <w:ind w:start="360" w:hanging="360"/>
      </w:pPr>
      <w:r>
        <w:rPr>
          <w:sz w:val="18"/>
          <w:szCs w:val="18"/>
          <w:rtl/>
        </w:rPr>
        <w:t xml:space="preserve">[6] وزارة العدل الإماراتية، نظام الكاتب العدل الإلكتروني </w:t>
      </w:r>
      <w:hyperlink w:history="1" r:id="rIdpbsqkbz0_oktorisoj07w">
        <w:r>
          <w:rPr>
            <w:rStyle w:val="Hyperlink"/>
            <w:sz w:val="16"/>
            <w:szCs w:val="16"/>
          </w:rPr>
          <w:t xml:space="preserve">https://www.moj.gov.ae/en/services/esystems/e-notary.aspx</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pPr>
      <w:r>
        <w:rPr>
          <w:b/>
          <w:bCs/>
          <w:rtl/>
        </w:rPr>
        <w:t xml:space="preserve">ملاحظة صياغة</w:t>
      </w:r>
    </w:p>
    <w:p>
      <w:pPr>
        <w:bidi/>
      </w:pPr>
      <w:r>
        <w:rPr>
          <w:rtl/>
        </w:rPr>
        <w:t xml:space="preserve">تشترط خدمة الإصدار الإلكترونية أن يكون المستفيد سعودياً أو مقيماً بهوية سارية، وأن يكون عمره أكبر من ثمانية عشر عاماً، وأن يكون كامل الأهلية، وأن يكون لديه حساب في النفاذ الوطني. وإذا كانت الصفة «ممثل شركة» أو «مالك مؤسسة» فالحساب حساب ناجز أعمال.</w:t>
      </w:r>
      <w:r>
        <w:rPr>
          <w:rtl/>
        </w:rPr>
        <w:t xml:space="preserve"> [1]</w:t>
      </w:r>
      <w:r>
        <w:rPr>
          <w:rtl/>
        </w:rPr>
        <w:t xml:space="preserve"> وإذا قُدِّمت </w:t>
      </w:r>
      <w:hyperlink w:history="1" r:id="rIdhe7u2a8p8rbhbjqbw7svp">
        <w:r>
          <w:rPr>
            <w:rStyle w:val="Hyperlink"/>
            <w:rtl/>
          </w:rPr>
          <w:t xml:space="preserve">صحيفة دعوى</w:t>
        </w:r>
      </w:hyperlink>
      <w:r>
        <w:rPr>
          <w:rtl/>
        </w:rPr>
        <w:t xml:space="preserve"> عبر ناجز من وكيل، فيلزم أن تكون الوكالة سارية وأن تتضمن بند المرافعة.</w:t>
      </w:r>
      <w:r>
        <w:rPr>
          <w:rtl/>
        </w:rPr>
        <w:t xml:space="preserve"> [3]</w:t>
      </w:r>
    </w:p>
  </w:comment>
  <w:comment w:id="1" w:initials="Q" w:author="Qanu" w:date="2026-10-17T00:00:00.000Z">
    <w:p>
      <w:pPr>
        <w:bidi/>
      </w:pPr>
      <w:r>
        <w:rPr>
          <w:b/>
          <w:bCs/>
          <w:rtl/>
        </w:rPr>
        <w:t xml:space="preserve">ملاحظة صياغة</w:t>
      </w:r>
    </w:p>
    <w:p>
      <w:pPr>
        <w:bidi/>
      </w:pPr>
      <w:r>
        <w:rPr>
          <w:rtl/>
        </w:rPr>
        <w:t xml:space="preserve">احذفوا الخيار الذي لا ينطبق. وفي ناجز يختار الموكِّل بنود الوكالة بنداً بنداً، والوكالة الصادرة هي المعتمدة لا هذه المسودة.</w:t>
      </w:r>
      <w:r>
        <w:rPr>
          <w:rtl/>
        </w:rPr>
        <w:t xml:space="preserve"> [1]</w:t>
      </w:r>
    </w:p>
  </w:comment>
  <w:comment w:id="2" w:initials="Q" w:author="Qanu" w:date="2026-10-17T00:00:00.000Z">
    <w:p>
      <w:pPr>
        <w:bidi/>
      </w:pPr>
      <w:r>
        <w:rPr>
          <w:b/>
          <w:bCs/>
          <w:rtl/>
        </w:rPr>
        <w:t xml:space="preserve">ملاحظة صياغة</w:t>
      </w:r>
    </w:p>
    <w:p>
      <w:pPr>
        <w:bidi/>
      </w:pPr>
      <w:r>
        <w:rPr>
          <w:rtl/>
        </w:rPr>
        <w:t xml:space="preserve">لا تتركوا صلاحية على عمومها إذا كان المقصود معاملة واحدة. وراجعوا قائمة البنود التي تعرضها ناجز قبل الاعتماد.</w:t>
      </w:r>
      <w:r>
        <w:rPr>
          <w:rtl/>
        </w:rPr>
        <w:t xml:space="preserve"> [1]</w:t>
      </w:r>
    </w:p>
  </w:comment>
  <w:comment w:id="3" w:initials="Q" w:author="Qanu" w:date="2026-10-17T00:00:00.000Z">
    <w:p>
      <w:pPr>
        <w:bidi/>
      </w:pPr>
      <w:r>
        <w:rPr>
          <w:b/>
          <w:bCs/>
          <w:rtl/>
        </w:rPr>
        <w:t xml:space="preserve">ملاحظة صياغة</w:t>
      </w:r>
    </w:p>
    <w:p>
      <w:pPr>
        <w:bidi/>
      </w:pPr>
      <w:r>
        <w:rPr>
          <w:rtl/>
        </w:rPr>
        <w:t xml:space="preserve">هذه المسودة لا تغني عن الوكالة الصادرة. وإذا كانت هوية الموكِّل منتهية، فخدمة ناجز لا تتيح إلا البنود الخاصة بالمطالبات والمحاكم.</w:t>
      </w:r>
      <w:r>
        <w:rPr>
          <w:rtl/>
        </w:rPr>
        <w:t xml:space="preserve"> [1]</w:t>
      </w:r>
    </w:p>
  </w:comment>
  <w:comment w:id="4" w:initials="Q" w:author="Qanu" w:date="2026-10-17T00:00:00.000Z">
    <w:p>
      <w:pPr>
        <w:bidi/>
      </w:pPr>
      <w:r>
        <w:rPr>
          <w:b/>
          <w:bCs/>
          <w:rtl/>
        </w:rPr>
        <w:t xml:space="preserve">ملاحظة صياغة</w:t>
      </w:r>
    </w:p>
    <w:p>
      <w:pPr>
        <w:bidi/>
      </w:pPr>
      <w:r>
        <w:rPr>
          <w:rtl/>
        </w:rPr>
        <w:t xml:space="preserve">احذفوا الخيار الذي لا تنوون إصداره. وخدمة ناجز تميّز صفة «وكيل بموجب وكالة».</w:t>
      </w:r>
      <w:r>
        <w:rPr>
          <w:rtl/>
        </w:rPr>
        <w:t xml:space="preserve"> [1]</w:t>
      </w:r>
    </w:p>
  </w:comment>
  <w:comment w:id="5" w:initials="Q" w:author="Qanu" w:date="2026-10-17T00:00:00.000Z">
    <w:p>
      <w:pPr>
        <w:bidi/>
      </w:pPr>
      <w:r>
        <w:rPr>
          <w:b/>
          <w:bCs/>
          <w:rtl/>
        </w:rPr>
        <w:t xml:space="preserve">ملاحظة صياغة</w:t>
      </w:r>
    </w:p>
    <w:p>
      <w:pPr>
        <w:bidi/>
      </w:pPr>
      <w:r>
        <w:rPr>
          <w:rtl/>
        </w:rPr>
        <w:t xml:space="preserve">مدة الوكالة الإلكترونية عبر ناجز لا تتجاوز سنة.</w:t>
      </w:r>
      <w:r>
        <w:rPr>
          <w:rtl/>
        </w:rPr>
        <w:t xml:space="preserve"> [1]</w:t>
      </w:r>
      <w:r>
        <w:rPr>
          <w:rtl/>
        </w:rPr>
        <w:t xml:space="preserve"> ولا تذكر هذه الصفحة حداً أطول من ذلك، ولا رسوم التوثيق.</w:t>
      </w:r>
    </w:p>
  </w:comment>
  <w:comment w:id="6" w:initials="Q" w:author="Qanu" w:date="2026-10-17T00:00:00.000Z">
    <w:p>
      <w:pPr>
        <w:bidi/>
      </w:pPr>
      <w:r>
        <w:rPr>
          <w:b/>
          <w:bCs/>
          <w:rtl/>
        </w:rPr>
        <w:t xml:space="preserve">ملاحظة صياغة</w:t>
      </w:r>
    </w:p>
    <w:p>
      <w:pPr>
        <w:bidi/>
      </w:pPr>
      <w:r>
        <w:rPr>
          <w:rtl/>
        </w:rPr>
        <w:t xml:space="preserve">في الخدمة الإلكترونية يجوز لأي طرف، موكِّلاً كان أو وكيلاً، أن يفسخ نفسه جزئياً من الوكالة عبر بوابة ناجز أو تطبيق ناجز في أي وقت. وتنفسخ الوكالة آلياً عند وفاة أحد أطرافها بالربط مع وزارة الداخلية. ويمكن التحقق من سريانها من خدمات التحقق.</w:t>
      </w:r>
      <w:r>
        <w:rPr>
          <w:rtl/>
        </w:rPr>
        <w:t xml:space="preserve"> [1]</w:t>
      </w:r>
      <w:r>
        <w:rPr>
          <w:rtl/>
        </w:rPr>
        <w:t xml:space="preserve"> ومن بلغ خمساً وستين سنة ولم يسبق له إصدار وكالة يصدر وكالته الأولى عبر كتابة العدل الافتراضية أو الموثقين، ثم يمكنه الإصدار الإلكتروني.</w:t>
      </w:r>
      <w:r>
        <w:rPr>
          <w:rtl/>
        </w:rPr>
        <w:t xml:space="preserve"> [1]</w:t>
      </w:r>
    </w:p>
  </w:comment>
  <w:comment w:id="7" w:initials="Q" w:author="Qanu" w:date="2026-10-17T00:00:00.000Z">
    <w:p>
      <w:pPr>
        <w:bidi/>
      </w:pPr>
      <w:r>
        <w:rPr>
          <w:b/>
          <w:bCs/>
          <w:rtl/>
        </w:rPr>
        <w:t xml:space="preserve">ملاحظة صياغة</w:t>
      </w:r>
    </w:p>
    <w:p>
      <w:pPr>
        <w:bidi/>
      </w:pPr>
      <w:r>
        <w:rPr>
          <w:rtl/>
        </w:rPr>
        <w:t xml:space="preserve">خدمة ناجز تقول إن الوكالة الإلكترونية لا تتطلب طباعة ولا ختماً ولا توقيعاً ورقياً.</w:t>
      </w:r>
      <w:r>
        <w:rPr>
          <w:rtl/>
        </w:rPr>
        <w:t xml:space="preserve"> [1]</w:t>
      </w:r>
      <w:r>
        <w:rPr>
          <w:rtl/>
        </w:rPr>
        <w:t xml:space="preserve"> خانات التوقيع أعلاه لمسودة تُراجع قبل الإصدار، لا للوكالة الصادرة.</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CEE69EB7-8947-EBCB-16FF-E38DEDB69F5C}"/>
    <w:embedBold r:id="rId2" w:fontKey="{9C7A2FE3-AC85-3A1B-2408-8E53EBA6BF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17 أكتوبر 2026 – ‪https://www.qanu.ai/ar/نماذج/نموذج-وكالة‬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17 أكتوبر 2026 – ‪https://www.qanu.ai/ar/نماذج/نموذج-وكالة‬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he7u2a8p8rbhbjqbw7svp" Type="http://schemas.openxmlformats.org/officeDocument/2006/relationships/hyperlink" Target="https://www.qanu.ai/ar/%D9%86%D9%85%D8%A7%D8%B0%D8%AC/%D9%86%D9%85%D9%88%D8%B0%D8%AC-%D8%B5%D8%AD%D9%8A%D9%81%D8%A9-%D8%AF%D8%B9%D9%88%D9%89"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9numqdxfh-qzkavqknnu0" Type="http://schemas.openxmlformats.org/officeDocument/2006/relationships/hyperlink" Target="https://www.moj.gov.sa/ar/eServices/pages/3472d517-7cb4-4cd5-a6bc-2abc9751eea3.aspx" TargetMode="External"/><Relationship Id="rIdg1x7ggkgkurxcwnsoytd2" Type="http://schemas.openxmlformats.org/officeDocument/2006/relationships/hyperlink" Target="https://najiz.sa/applications/landing" TargetMode="External"/><Relationship Id="rIdhmjrjvhde3b8ki7fde9vj" Type="http://schemas.openxmlformats.org/officeDocument/2006/relationships/hyperlink" Target="https://www.adjd.gov.ae/EN/Pages/notarypublics.aspx" TargetMode="External"/><Relationship Id="rIdzj9czogrhetnnte5knh4h" Type="http://schemas.openxmlformats.org/officeDocument/2006/relationships/hyperlink" Target="https://www.moj.gov.ae/en/services/esystems/e-notary.aspx" TargetMode="External"/><Relationship Id="rIdb-i5h7se8eb2_rzg_lxjw" Type="http://schemas.openxmlformats.org/officeDocument/2006/relationships/hyperlink" Target="https://creativecommons.org/licenses/by/4.0/deed.ar" TargetMode="External"/><Relationship Id="rId9a0c6j8ccnqn0ydvt1bsz" Type="http://schemas.openxmlformats.org/officeDocument/2006/relationships/hyperlink" Target="https://www.moj.gov.sa/ar/eServices/pages/3472d517-7cb4-4cd5-a6bc-2abc9751eea3.aspx" TargetMode="External"/><Relationship Id="rIdudvixxw-3y_9utyixk34h" Type="http://schemas.openxmlformats.org/officeDocument/2006/relationships/hyperlink" Target="https://najiz.sa/applications/landing" TargetMode="External"/><Relationship Id="rId5rwrx7va1tymz50yripy0" Type="http://schemas.openxmlformats.org/officeDocument/2006/relationships/hyperlink" Target="https://www.moj.gov.sa/ar/eServices/Pages/928b8f02-19a7-482b-ba0e-29a151d9a900.aspx" TargetMode="External"/><Relationship Id="rId-uvfhucy1ksvruijc6lev" Type="http://schemas.openxmlformats.org/officeDocument/2006/relationships/hyperlink" Target="https://laws.moj.gov.sa/ar/legislation/PBbHmywh1XMp-Kyv3NtQLg" TargetMode="External"/><Relationship Id="rIdk51qihwxbpko4pwgfadeo" Type="http://schemas.openxmlformats.org/officeDocument/2006/relationships/hyperlink" Target="https://www.adjd.gov.ae/EN/Pages/notarypublics.aspx" TargetMode="External"/><Relationship Id="rIdpbsqkbz0_oktorisoj07w" Type="http://schemas.openxmlformats.org/officeDocument/2006/relationships/hyperlink" Target="https://www.moj.gov.ae/en/services/esystems/e-notary.aspx"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وكالة عامة أو خاصة</dc:title>
  <dc:creator>Qanu</dc:creator>
  <cp:keywords>وكالة, ناجز, كاتب العدل,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17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2026-10-17T19:32:14.220Z</dcterms:created>
  <dcterms:modified xsi:type="dcterms:W3CDTF">2026-10-17T19:32:14.220Z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https://www.qanu.ai/ar/نماذج/نموذج-وكالة</vt:lpwstr>
  </property>
</Properties>
</file>