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A power of attorney takes effect only once it is issued through the official channel.</w:t>
      </w:r>
      <w:r>
        <w:rPr>
          <w:rtl w:val="false"/>
        </w:rPr>
        <w:t xml:space="preserve"> In Saudi Arabia, the Ministry of Justice e-service “Issue a power of attorney” issues it on Najiz without a visit to a notary. An electronic power of attorney does not run for more than one year. Any party can partially withdraw from it on Najiz or in the Najiz app, and it ends automatically if a party dies.</w:t>
      </w:r>
      <w:r>
        <w:rPr>
          <w:rtl w:val="false"/>
        </w:rPr>
        <w:t xml:space="preserve"> [1]</w:t>
      </w:r>
      <w:r>
        <w:rPr>
          <w:rtl w:val="false"/>
        </w:rPr>
        <w:t xml:space="preserve"> Finalise the wording here, then issue it on Najiz. In Abu Dhabi, the Judicial Department’s notary public notarises customary documents, and the Department has an English-language notary bureau.</w:t>
      </w:r>
      <w:r>
        <w:rPr>
          <w:rtl w:val="false"/>
        </w:rPr>
        <w:t xml:space="preserve"> [5]</w:t>
      </w:r>
      <w:r>
        <w:rPr>
          <w:rtl w:val="false"/>
        </w:rPr>
        <w:t xml:space="preserve"> Check the notary of the emirate where the power of attorney will be used. The UAE Ministry of Justice publishes an e-Notary page.</w:t>
      </w:r>
      <w:r>
        <w:rPr>
          <w:rtl w:val="false"/>
        </w:rPr>
        <w:t xml:space="preserve"> [6]</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Issue a power of attorney: </w:t>
      </w:r>
      <w:hyperlink w:history="1" r:id="rIdepz8ubwenfrkchca11-jo">
        <w:r>
          <w:rPr>
            <w:rStyle w:val="Hyperlink"/>
            <w:sz w:val="17"/>
            <w:szCs w:val="17"/>
          </w:rPr>
          <w:t xml:space="preserve">https://www.moj.gov.sa/ar/eServices/pages/3472d517-7cb4-4cd5-a6bc-2abc9751eea3.aspx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Najiz: </w:t>
      </w:r>
      <w:hyperlink w:history="1" r:id="rIdi6eljgcazgivodwff8slf">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Abu Dhabi notary public: </w:t>
      </w:r>
      <w:hyperlink w:history="1" r:id="rIdnrw3b5bfz_gupjth74pch">
        <w:r>
          <w:rPr>
            <w:rStyle w:val="Hyperlink"/>
            <w:sz w:val="17"/>
            <w:szCs w:val="17"/>
          </w:rPr>
          <w:t xml:space="preserve">https://www.adjd.gov.ae/EN/Pages/notarypublics.aspx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e-Notary: </w:t>
      </w:r>
      <w:hyperlink w:history="1" r:id="rIdkjgavk2gvm4ylhfpyw_i2">
        <w:r>
          <w:rPr>
            <w:rStyle w:val="Hyperlink"/>
            <w:sz w:val="17"/>
            <w:szCs w:val="17"/>
          </w:rPr>
          <w:t xml:space="preserve">https://www.moj.gov.ae/en/services/esystems/e-notary.aspx</w:t>
        </w:r>
      </w:hyperlink>
    </w:p>
    <w:p>
      <w:pPr>
        <w:bidi w:val="false"/>
        <w:spacing w:after="240"/>
      </w:pPr>
    </w:p>
    <w:p>
      <w:pPr>
        <w:pStyle w:val="Title"/>
        <w:bidi w:val="false"/>
      </w:pPr>
      <w:r>
        <w:rPr>
          <w:rtl w:val="false"/>
        </w:rPr>
        <w:t xml:space="preserve">Power of attorney</w:t>
      </w:r>
    </w:p>
    <w:p>
      <w:pPr>
        <w:bidi w:val="false"/>
        <w:spacing w:after="240"/>
      </w:pPr>
      <w:r>
        <w:rPr>
          <w:color w:val="444444"/>
          <w:rtl w:val="false"/>
        </w:rPr>
        <w:t xml:space="preserve">A draft general or special power of attorney for the GCC: parties, a checklist of powers, limits, duration and revocation. It is not a substitute for the instrument issued through the official channel.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 that doesn’t apply.</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I, </w:t>
      </w:r>
      <w:r>
        <w:rPr>
          <w:highlight w:val="yellow"/>
          <w:rtl w:val="false"/>
        </w:rPr>
        <w:t xml:space="preserve">[</w:t>
      </w:r>
      <w:r>
        <w:rPr>
          <w:highlight w:val="yellow"/>
          <w:rtl w:val="false"/>
        </w:rPr>
        <w:t xml:space="preserve">Principal: name, ID, address</w:t>
      </w:r>
      <w:r>
        <w:rPr>
          <w:highlight w:val="yellow"/>
          <w:rtl w:val="false"/>
        </w:rPr>
        <w:t xml:space="preserve">]</w:t>
      </w:r>
      <w:r>
        <w:rPr>
          <w:rtl w:val="false"/>
        </w:rPr>
        <w:t xml:space="preserve">, being of full capacity, appoint </w:t>
      </w:r>
      <w:r>
        <w:rPr>
          <w:highlight w:val="yellow"/>
          <w:rtl w:val="false"/>
        </w:rPr>
        <w:t xml:space="preserve">[</w:t>
      </w:r>
      <w:r>
        <w:rPr>
          <w:highlight w:val="yellow"/>
          <w:rtl w:val="false"/>
        </w:rPr>
        <w:t xml:space="preserve">Agent: name, ID, address</w:t>
      </w:r>
      <w:r>
        <w:rPr>
          <w:highlight w:val="yellow"/>
          <w:rtl w:val="false"/>
        </w:rPr>
        <w:t xml:space="preserve">]</w:t>
      </w:r>
      <w:r>
        <w:rPr>
          <w:rtl w:val="false"/>
        </w:rPr>
        <w:t xml:space="preserve"> to act for me within the limits of this power of attorney.</w:t>
      </w:r>
    </w:p>
    <w:p>
      <w:pPr>
        <w:bidi w:val="false"/>
      </w:pPr>
      <w:r>
        <w:rPr>
          <w:rtl w:val="false"/>
        </w:rPr>
        <w:t xml:space="preserve">The Principal’s capacity: </w:t>
      </w:r>
      <w:r>
        <w:rPr>
          <w:highlight w:val="yellow"/>
          <w:rtl w:val="false"/>
        </w:rPr>
        <w:t xml:space="preserve">[</w:t>
      </w:r>
      <w:r>
        <w:rPr>
          <w:highlight w:val="yellow"/>
          <w:rtl w:val="false"/>
        </w:rPr>
        <w:t xml:space="preserve">in person / as agent under a power of attorney / owner of an establishment / representative of a company</w:t>
      </w:r>
      <w:r>
        <w:rPr>
          <w:highlight w:val="yellow"/>
          <w:rtl w:val="false"/>
        </w:rPr>
        <w:t xml:space="preserve">]</w:t>
      </w:r>
      <w:r>
        <w:rPr>
          <w:rtl w:val="false"/>
        </w:rPr>
        <w:t xml:space="preserve">.</w:t>
      </w:r>
    </w:p>
    <w:p>
      <w:pPr>
        <w:pStyle w:val="Heading1"/>
        <w:bidi w:val="false"/>
      </w:pPr>
      <w:commentRangeStart w:id="1"/>
      <w:r>
        <w:rPr>
          <w:rtl w:val="false"/>
        </w:rPr>
        <w:t xml:space="preserve">2. Type</w:t>
      </w:r>
      <w:commentRangeEnd w:id="1"/>
      <w:r>
        <w:rPr>
          <w:rtl w:val="false"/>
        </w:rPr>
        <w:commentReference w:id="1"/>
      </w:r>
    </w:p>
    <w:p>
      <w:pPr>
        <w:bidi w:val="false"/>
      </w:pPr>
      <w:r>
        <w:rPr>
          <w:b/>
          <w:bCs/>
          <w:rtl w:val="false"/>
        </w:rPr>
        <w:t xml:space="preserve">Option — general:</w:t>
      </w:r>
      <w:r>
        <w:rPr>
          <w:rtl w:val="false"/>
        </w:rPr>
        <w:t xml:space="preserve"> the Agent may do the acts ticked in clause 3, unless clause 4 excludes an act.</w:t>
      </w:r>
    </w:p>
    <w:p>
      <w:pPr>
        <w:bidi w:val="false"/>
      </w:pPr>
      <w:r>
        <w:rPr>
          <w:b/>
          <w:bCs/>
          <w:rtl w:val="false"/>
        </w:rPr>
        <w:t xml:space="preserve">Option — special:</w:t>
      </w:r>
      <w:r>
        <w:rPr>
          <w:rtl w:val="false"/>
        </w:rPr>
        <w:t xml:space="preserve"> this power of attorney is limited to this act: </w:t>
      </w:r>
      <w:r>
        <w:rPr>
          <w:highlight w:val="yellow"/>
          <w:rtl w:val="false"/>
        </w:rPr>
        <w:t xml:space="preserve">[</w:t>
      </w:r>
      <w:r>
        <w:rPr>
          <w:highlight w:val="yellow"/>
          <w:rtl w:val="false"/>
        </w:rPr>
        <w:t xml:space="preserve">describe the act or transaction</w:t>
      </w:r>
      <w:r>
        <w:rPr>
          <w:highlight w:val="yellow"/>
          <w:rtl w:val="false"/>
        </w:rPr>
        <w:t xml:space="preserve">]</w:t>
      </w:r>
      <w:r>
        <w:rPr>
          <w:rtl w:val="false"/>
        </w:rPr>
        <w:t xml:space="preserve">.</w:t>
      </w:r>
    </w:p>
    <w:p>
      <w:pPr>
        <w:pStyle w:val="Heading1"/>
        <w:bidi w:val="false"/>
      </w:pPr>
      <w:commentRangeStart w:id="2"/>
      <w:r>
        <w:rPr>
          <w:rtl w:val="false"/>
        </w:rPr>
        <w:t xml:space="preserve">3. Scope of authority</w:t>
      </w:r>
      <w:commentRangeEnd w:id="2"/>
      <w:r>
        <w:rPr>
          <w:rtl w:val="false"/>
        </w:rPr>
        <w:commentReference w:id="2"/>
      </w:r>
    </w:p>
    <w:p>
      <w:pPr>
        <w:bidi w:val="false"/>
      </w:pPr>
      <w:r>
        <w:rPr>
          <w:rtl w:val="false"/>
        </w:rPr>
        <w:t xml:space="preserve">The Agent may exercise only the powers marked in Annex 1, and only within the limit written against each power.</w:t>
      </w:r>
    </w:p>
    <w:p>
      <w:pPr>
        <w:pStyle w:val="Heading1"/>
        <w:bidi w:val="false"/>
      </w:pPr>
      <w:commentRangeStart w:id="3"/>
      <w:r>
        <w:rPr>
          <w:rtl w:val="false"/>
        </w:rPr>
        <w:t xml:space="preserve">4. Limits and excluded acts</w:t>
      </w:r>
      <w:commentRangeEnd w:id="3"/>
      <w:r>
        <w:rPr>
          <w:rtl w:val="false"/>
        </w:rPr>
        <w:commentReference w:id="3"/>
      </w:r>
    </w:p>
    <w:p>
      <w:pPr>
        <w:bidi w:val="false"/>
      </w:pPr>
      <w:r>
        <w:rPr>
          <w:rtl w:val="false"/>
        </w:rPr>
        <w:t xml:space="preserve">The Agent may not: </w:t>
      </w:r>
      <w:r>
        <w:rPr>
          <w:highlight w:val="yellow"/>
          <w:rtl w:val="false"/>
        </w:rPr>
        <w:t xml:space="preserve">[</w:t>
      </w:r>
      <w:r>
        <w:rPr>
          <w:highlight w:val="yellow"/>
          <w:rtl w:val="false"/>
        </w:rPr>
        <w:t xml:space="preserve">gift / release a claim / settle / waive a right / dispose of property / borrow / other exclusions</w:t>
      </w:r>
      <w:r>
        <w:rPr>
          <w:highlight w:val="yellow"/>
          <w:rtl w:val="false"/>
        </w:rPr>
        <w:t xml:space="preserve">]</w:t>
      </w:r>
      <w:r>
        <w:rPr>
          <w:rtl w:val="false"/>
        </w:rPr>
        <w:t xml:space="preserve">. Anything not listed in clause 3 and Annex 1 is outside this power of attorney.</w:t>
      </w:r>
    </w:p>
    <w:p>
      <w:pPr>
        <w:pStyle w:val="Heading1"/>
        <w:bidi w:val="false"/>
      </w:pPr>
      <w:commentRangeStart w:id="4"/>
      <w:r>
        <w:rPr>
          <w:rtl w:val="false"/>
        </w:rPr>
        <w:t xml:space="preserve">5. Right to delegate</w:t>
      </w:r>
      <w:commentRangeEnd w:id="4"/>
      <w:r>
        <w:rPr>
          <w:rtl w:val="false"/>
        </w:rPr>
        <w:commentReference w:id="4"/>
      </w:r>
    </w:p>
    <w:p>
      <w:pPr>
        <w:bidi w:val="false"/>
      </w:pPr>
      <w:r>
        <w:rPr>
          <w:b/>
          <w:bCs/>
          <w:rtl w:val="false"/>
        </w:rPr>
        <w:t xml:space="preserve">Option:</w:t>
      </w:r>
      <w:r>
        <w:rPr>
          <w:rtl w:val="false"/>
        </w:rPr>
        <w:t xml:space="preserve"> the Agent may not appoint a substitute.</w:t>
      </w:r>
    </w:p>
    <w:p>
      <w:pPr>
        <w:bidi w:val="false"/>
      </w:pPr>
      <w:r>
        <w:rPr>
          <w:b/>
          <w:bCs/>
          <w:rtl w:val="false"/>
        </w:rPr>
        <w:t xml:space="preserve">Option:</w:t>
      </w:r>
      <w:r>
        <w:rPr>
          <w:rtl w:val="false"/>
        </w:rPr>
        <w:t xml:space="preserve"> the Agent may appoint a substitute within </w:t>
      </w:r>
      <w:r>
        <w:rPr>
          <w:highlight w:val="yellow"/>
          <w:rtl w:val="false"/>
        </w:rPr>
        <w:t xml:space="preserve">[</w:t>
      </w:r>
      <w:r>
        <w:rPr>
          <w:highlight w:val="yellow"/>
          <w:rtl w:val="false"/>
        </w:rPr>
        <w:t xml:space="preserve">limits</w:t>
      </w:r>
      <w:r>
        <w:rPr>
          <w:highlight w:val="yellow"/>
          <w:rtl w:val="false"/>
        </w:rPr>
        <w:t xml:space="preserve">]</w:t>
      </w:r>
      <w:r>
        <w:rPr>
          <w:rtl w:val="false"/>
        </w:rPr>
        <w:t xml:space="preserve">, and remains responsible for that choice.</w:t>
      </w:r>
    </w:p>
    <w:p>
      <w:pPr>
        <w:pStyle w:val="Heading1"/>
        <w:bidi w:val="false"/>
      </w:pPr>
      <w:commentRangeStart w:id="5"/>
      <w:r>
        <w:rPr>
          <w:rtl w:val="false"/>
        </w:rPr>
        <w:t xml:space="preserve">6. Duration and expiry</w:t>
      </w:r>
      <w:commentRangeEnd w:id="5"/>
      <w:r>
        <w:rPr>
          <w:rtl w:val="false"/>
        </w:rPr>
        <w:commentReference w:id="5"/>
      </w:r>
    </w:p>
    <w:p>
      <w:pPr>
        <w:bidi w:val="false"/>
      </w:pPr>
      <w:r>
        <w:rPr>
          <w:rtl w:val="false"/>
        </w:rPr>
        <w:t xml:space="preserve">This power of attorney runs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until </w:t>
      </w:r>
      <w:r>
        <w:rPr>
          <w:highlight w:val="yellow"/>
          <w:rtl w:val="false"/>
        </w:rPr>
        <w:t xml:space="preserve">[</w:t>
      </w:r>
      <w:r>
        <w:rPr>
          <w:highlight w:val="yellow"/>
          <w:rtl w:val="false"/>
        </w:rPr>
        <w:t xml:space="preserve">date or event</w:t>
      </w:r>
      <w:r>
        <w:rPr>
          <w:highlight w:val="yellow"/>
          <w:rtl w:val="false"/>
        </w:rPr>
        <w:t xml:space="preserve">]</w:t>
      </w:r>
      <w:r>
        <w:rPr>
          <w:rtl w:val="false"/>
        </w:rPr>
        <w:t xml:space="preserve">, unless it ends sooner by revocation, withdrawal or death.</w:t>
      </w:r>
    </w:p>
    <w:p>
      <w:pPr>
        <w:pStyle w:val="Heading1"/>
        <w:bidi w:val="false"/>
      </w:pPr>
      <w:commentRangeStart w:id="6"/>
      <w:r>
        <w:rPr>
          <w:rtl w:val="false"/>
        </w:rPr>
        <w:t xml:space="preserve">7. Revocation and withdrawal</w:t>
      </w:r>
      <w:commentRangeEnd w:id="6"/>
      <w:r>
        <w:rPr>
          <w:rtl w:val="false"/>
        </w:rPr>
        <w:commentReference w:id="6"/>
      </w:r>
    </w:p>
    <w:p>
      <w:pPr>
        <w:bidi w:val="false"/>
      </w:pPr>
      <w:r>
        <w:rPr>
          <w:rtl w:val="false"/>
        </w:rPr>
        <w:t xml:space="preserve">The Principal may revoke the Agent by written notice. The Agent may withdraw by written notice. Tell the other party, and any third party dealing with the Agent, when that is possible.</w:t>
      </w:r>
    </w:p>
    <w:p>
      <w:pPr>
        <w:pStyle w:val="Heading1"/>
        <w:bidi w:val="false"/>
      </w:pPr>
      <w:commentRangeStart w:id="7"/>
      <w:r>
        <w:rPr>
          <w:rtl w:val="false"/>
        </w:rPr>
        <w:t xml:space="preserve">8. How to use this draft</w:t>
      </w:r>
      <w:commentRangeEnd w:id="7"/>
      <w:r>
        <w:rPr>
          <w:rtl w:val="false"/>
        </w:rPr>
        <w:commentReference w:id="7"/>
      </w:r>
    </w:p>
    <w:p>
      <w:pPr>
        <w:bidi w:val="false"/>
      </w:pPr>
      <w:r>
        <w:rPr>
          <w:rtl w:val="false"/>
        </w:rPr>
        <w:t xml:space="preserve">Use this draft to settle the wording. The power of attorney that works is the one issued on Najiz or before the competent notary. If the Arabic and English texts conflict, the Arabic text prevails in Saudi Arabia.</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Principal:</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Agent:</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What the Ministry of Justice service card for “Issue a power of attorney” states. The Civil Transactions Law text was not readable from this network, so this schedule cites no article numbers.</w:t>
      </w:r>
      <w:r>
        <w:rPr>
          <w:rtl w:val="false"/>
        </w:rPr>
        <w:t xml:space="preserve"> [1][4]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card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Issue</w:t>
            </w:r>
          </w:p>
        </w:tc>
        <w:tc>
          <w:tcPr>
            <w:tcMar>
              <w:top w:type="dxa" w:w="80"/>
              <w:left w:type="dxa" w:w="100"/>
              <w:bottom w:type="dxa" w:w="80"/>
              <w:right w:type="dxa" w:w="100"/>
            </w:tcMar>
          </w:tcPr>
          <w:p>
            <w:pPr>
              <w:bidi w:val="false"/>
              <w:spacing w:after="0"/>
            </w:pPr>
            <w:r>
              <w:rPr>
                <w:b w:val="false"/>
                <w:sz w:val="18"/>
                <w:szCs w:val="18"/>
                <w:rtl w:val="false"/>
              </w:rPr>
              <w:t xml:space="preserve">An electronic service issues the power of attorney on Najiz, with National Single Sign-On, without a visit to a notary.</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w:t>
            </w:r>
          </w:p>
        </w:tc>
        <w:tc>
          <w:tcPr>
            <w:tcMar>
              <w:top w:type="dxa" w:w="80"/>
              <w:left w:type="dxa" w:w="100"/>
              <w:bottom w:type="dxa" w:w="80"/>
              <w:right w:type="dxa" w:w="100"/>
            </w:tcMar>
          </w:tcPr>
          <w:p>
            <w:pPr>
              <w:bidi w:val="false"/>
              <w:spacing w:after="0"/>
            </w:pPr>
            <w:r>
              <w:rPr>
                <w:b w:val="false"/>
                <w:sz w:val="18"/>
                <w:szCs w:val="18"/>
                <w:rtl w:val="false"/>
              </w:rPr>
              <w:t xml:space="preserve">An electronic power of attorney does not exceed one year.</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Withdrawal</w:t>
            </w:r>
          </w:p>
        </w:tc>
        <w:tc>
          <w:tcPr>
            <w:tcMar>
              <w:top w:type="dxa" w:w="80"/>
              <w:left w:type="dxa" w:w="100"/>
              <w:bottom w:type="dxa" w:w="80"/>
              <w:right w:type="dxa" w:w="100"/>
            </w:tcMar>
          </w:tcPr>
          <w:p>
            <w:pPr>
              <w:bidi w:val="false"/>
              <w:spacing w:after="0"/>
            </w:pPr>
            <w:r>
              <w:rPr>
                <w:b w:val="false"/>
                <w:sz w:val="18"/>
                <w:szCs w:val="18"/>
                <w:rtl w:val="false"/>
              </w:rPr>
              <w:t xml:space="preserve">Either party may partially withdraw electronically, on the portal or in the app.</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Death</w:t>
            </w:r>
          </w:p>
        </w:tc>
        <w:tc>
          <w:tcPr>
            <w:tcMar>
              <w:top w:type="dxa" w:w="80"/>
              <w:left w:type="dxa" w:w="100"/>
              <w:bottom w:type="dxa" w:w="80"/>
              <w:right w:type="dxa" w:w="100"/>
            </w:tcMar>
          </w:tcPr>
          <w:p>
            <w:pPr>
              <w:bidi w:val="false"/>
              <w:spacing w:after="0"/>
            </w:pPr>
            <w:r>
              <w:rPr>
                <w:b w:val="false"/>
                <w:sz w:val="18"/>
                <w:szCs w:val="18"/>
                <w:rtl w:val="false"/>
              </w:rPr>
              <w:t xml:space="preserve">It ends automatically if a party dies.</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Form</w:t>
            </w:r>
          </w:p>
        </w:tc>
        <w:tc>
          <w:tcPr>
            <w:tcMar>
              <w:top w:type="dxa" w:w="80"/>
              <w:left w:type="dxa" w:w="100"/>
              <w:bottom w:type="dxa" w:w="80"/>
              <w:right w:type="dxa" w:w="100"/>
            </w:tcMar>
          </w:tcPr>
          <w:p>
            <w:pPr>
              <w:bidi w:val="false"/>
              <w:spacing w:after="0"/>
            </w:pPr>
            <w:r>
              <w:rPr>
                <w:b w:val="false"/>
                <w:sz w:val="18"/>
                <w:szCs w:val="18"/>
                <w:rtl w:val="false"/>
              </w:rPr>
              <w:t xml:space="preserve">It is electronic. The service says it does not need to be printed, stamped or signed.</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Statement of claim</w:t>
            </w:r>
          </w:p>
        </w:tc>
        <w:tc>
          <w:tcPr>
            <w:tcMar>
              <w:top w:type="dxa" w:w="80"/>
              <w:left w:type="dxa" w:w="100"/>
              <w:bottom w:type="dxa" w:w="80"/>
              <w:right w:type="dxa" w:w="100"/>
            </w:tcMar>
          </w:tcPr>
          <w:p>
            <w:pPr>
              <w:bidi w:val="false"/>
              <w:spacing w:after="0"/>
            </w:pPr>
            <w:r>
              <w:rPr>
                <w:b w:val="false"/>
                <w:sz w:val="18"/>
                <w:szCs w:val="18"/>
                <w:rtl w:val="false"/>
              </w:rPr>
              <w:t xml:space="preserve">If an agent files the claim, the power of attorney must be in force and include authority to plead.</w:t>
            </w:r>
            <w:r>
              <w:rPr>
                <w:b w:val="false"/>
                <w:sz w:val="18"/>
                <w:szCs w:val="18"/>
                <w:rtl w:val="false"/>
              </w:rPr>
              <w:t xml:space="preserve"> [3]</w:t>
            </w:r>
          </w:p>
        </w:tc>
      </w:tr>
    </w:tbl>
    <w:p>
      <w:pPr>
        <w:bidi w:val="false"/>
      </w:pPr>
    </w:p>
    <w:p>
      <w:pPr>
        <w:pStyle w:val="Heading1"/>
        <w:pageBreakBefore/>
        <w:bidi w:val="false"/>
      </w:pPr>
      <w:r>
        <w:rPr>
          <w:rtl w:val="false"/>
        </w:rPr>
        <w:t xml:space="preserve">UAE notes</w:t>
      </w:r>
    </w:p>
    <w:p>
      <w:pPr>
        <w:bidi w:val="false"/>
      </w:pPr>
      <w:r>
        <w:rPr>
          <w:rtl w:val="false"/>
        </w:rPr>
        <w:t xml:space="preserve">What was read on the Abu Dhabi Judicial Department notary page. The federal e-Notary page returned an error, so it is linked and not described.</w:t>
      </w:r>
      <w:r>
        <w:rPr>
          <w:rtl w:val="false"/>
        </w:rPr>
        <w:t xml:space="preserve"> [5][6]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w:t>
            </w:r>
          </w:p>
        </w:tc>
        <w:tc>
          <w:tcPr>
            <w:tcMar>
              <w:top w:type="dxa" w:w="80"/>
              <w:left w:type="dxa" w:w="100"/>
              <w:bottom w:type="dxa" w:w="80"/>
              <w:right w:type="dxa" w:w="100"/>
            </w:tcMar>
          </w:tcPr>
          <w:p>
            <w:pPr>
              <w:bidi w:val="false"/>
              <w:spacing w:after="0"/>
            </w:pPr>
            <w:r>
              <w:rPr>
                <w:b w:val="false"/>
                <w:sz w:val="18"/>
                <w:szCs w:val="18"/>
                <w:rtl w:val="false"/>
              </w:rPr>
              <w:t xml:space="preserve">A notary public is a person the Judicial Department approves or licenses to notarize customary documents, including the private notary and the governmental notary.</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 law</w:t>
            </w:r>
          </w:p>
        </w:tc>
        <w:tc>
          <w:tcPr>
            <w:tcMar>
              <w:top w:type="dxa" w:w="80"/>
              <w:left w:type="dxa" w:w="100"/>
              <w:bottom w:type="dxa" w:w="80"/>
              <w:right w:type="dxa" w:w="100"/>
            </w:tcMar>
          </w:tcPr>
          <w:p>
            <w:pPr>
              <w:bidi w:val="false"/>
              <w:spacing w:after="0"/>
            </w:pPr>
            <w:r>
              <w:rPr>
                <w:b w:val="false"/>
                <w:sz w:val="18"/>
                <w:szCs w:val="18"/>
                <w:rtl w:val="false"/>
              </w:rPr>
              <w:t xml:space="preserve">The page refers to Article 1 of Law No. 11 of 2017 on the notary public in the Emirate of Abu Dhabi: a document is not notarized if it violates the law or public order, falls within another entity’s competence, or falls within the notary’s restrictions.</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English</w:t>
            </w:r>
          </w:p>
        </w:tc>
        <w:tc>
          <w:tcPr>
            <w:tcMar>
              <w:top w:type="dxa" w:w="80"/>
              <w:left w:type="dxa" w:w="100"/>
              <w:bottom w:type="dxa" w:w="80"/>
              <w:right w:type="dxa" w:w="100"/>
            </w:tcMar>
          </w:tcPr>
          <w:p>
            <w:pPr>
              <w:bidi w:val="false"/>
              <w:spacing w:after="0"/>
            </w:pPr>
            <w:r>
              <w:rPr>
                <w:b w:val="false"/>
                <w:sz w:val="18"/>
                <w:szCs w:val="18"/>
                <w:rtl w:val="false"/>
              </w:rPr>
              <w:t xml:space="preserve">The Department has an English-language notary services bureau.</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 stated here</w:t>
            </w:r>
          </w:p>
        </w:tc>
        <w:tc>
          <w:tcPr>
            <w:tcMar>
              <w:top w:type="dxa" w:w="80"/>
              <w:left w:type="dxa" w:w="100"/>
              <w:bottom w:type="dxa" w:w="80"/>
              <w:right w:type="dxa" w:w="100"/>
            </w:tcMar>
          </w:tcPr>
          <w:p>
            <w:pPr>
              <w:bidi w:val="false"/>
              <w:spacing w:after="0"/>
            </w:pPr>
            <w:r>
              <w:rPr>
                <w:b w:val="false"/>
                <w:sz w:val="18"/>
                <w:szCs w:val="18"/>
                <w:rtl w:val="false"/>
              </w:rPr>
              <w:t xml:space="preserve">This page does not state the language of a UAE power of attorney, or the translation and attestation rules for a foreign one.</w:t>
            </w:r>
          </w:p>
        </w:tc>
      </w:tr>
    </w:tbl>
    <w:p>
      <w:pPr>
        <w:bidi w:val="false"/>
      </w:pPr>
    </w:p>
    <w:p>
      <w:pPr>
        <w:pStyle w:val="Heading1"/>
        <w:pageBreakBefore/>
        <w:bidi w:val="false"/>
      </w:pPr>
      <w:r>
        <w:rPr>
          <w:rtl w:val="false"/>
        </w:rPr>
        <w:t xml:space="preserve">Annex 1 – Powers</w:t>
      </w:r>
    </w:p>
    <w:p>
      <w:pPr>
        <w:bidi w:val="false"/>
      </w:pPr>
      <w:r>
        <w:rPr>
          <w:rtl w:val="false"/>
        </w:rPr>
        <w:t xml:space="preserve">Mark “yes” for each power you intend to issue, and write its limit. Add a row for a special act.</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Power</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Included</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Limit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Government transactions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authority or transaction</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Banks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account or transaction</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Courts and claims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claim or type of claim</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Property</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property or disposition</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Companies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yes/no</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company or act</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2fld3fm1vyywtckystrx">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https://www.qanu.ai/en/templates/power-of-attorney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Saudi Ministry of Justice, e-service “Issue a power of attorney” (إصدار وكالة) on Najiz </w:t>
      </w:r>
      <w:hyperlink w:history="1" r:id="rIds9okpwgypalgs1vbjvcim">
        <w:r>
          <w:rPr>
            <w:rStyle w:val="Hyperlink"/>
            <w:sz w:val="16"/>
            <w:szCs w:val="16"/>
          </w:rPr>
          <w:t xml:space="preserve">https://www.moj.gov.sa/ar/eServices/pages/3472d517-7cb4-4cd5-a6bc-2abc9751eea3.aspx</w:t>
        </w:r>
      </w:hyperlink>
    </w:p>
    <w:p>
      <w:pPr>
        <w:bidi w:val="false"/>
        <w:ind w:start="360" w:hanging="360"/>
      </w:pPr>
      <w:r>
        <w:rPr>
          <w:sz w:val="18"/>
          <w:szCs w:val="18"/>
          <w:rtl w:val="false"/>
        </w:rPr>
        <w:t xml:space="preserve">[2] Najiz, Ministry of Justice electronic-services portal </w:t>
      </w:r>
      <w:hyperlink w:history="1" r:id="rIdit9oon8lpnlvnfclc4avj">
        <w:r>
          <w:rPr>
            <w:rStyle w:val="Hyperlink"/>
            <w:sz w:val="16"/>
            <w:szCs w:val="16"/>
          </w:rPr>
          <w:t xml:space="preserve">https://najiz.sa/applications/landing</w:t>
        </w:r>
      </w:hyperlink>
    </w:p>
    <w:p>
      <w:pPr>
        <w:bidi w:val="false"/>
        <w:ind w:start="360" w:hanging="360"/>
      </w:pPr>
      <w:r>
        <w:rPr>
          <w:sz w:val="18"/>
          <w:szCs w:val="18"/>
          <w:rtl w:val="false"/>
        </w:rPr>
        <w:t xml:space="preserve">[3] Saudi Ministry of Justice, e-service “Statement of claim” (صحيفة دعوى) on Najiz </w:t>
      </w:r>
      <w:hyperlink w:history="1" r:id="rIdvqrfp7cvmvkzaavacepvq">
        <w:r>
          <w:rPr>
            <w:rStyle w:val="Hyperlink"/>
            <w:sz w:val="16"/>
            <w:szCs w:val="16"/>
          </w:rPr>
          <w:t xml:space="preserve">https://www.moj.gov.sa/ar/eServices/Pages/928b8f02-19a7-482b-ba0e-29a151d9a900.aspx</w:t>
        </w:r>
      </w:hyperlink>
    </w:p>
    <w:p>
      <w:pPr>
        <w:bidi w:val="false"/>
        <w:ind w:start="360" w:hanging="360"/>
      </w:pPr>
      <w:r>
        <w:rPr>
          <w:sz w:val="18"/>
          <w:szCs w:val="18"/>
          <w:rtl w:val="false"/>
        </w:rPr>
        <w:t xml:space="preserve">[4] Ministry of Justice legal portal, Civil Transactions Law (Royal Decree No. M/191 of 29/11/1444H) </w:t>
      </w:r>
      <w:hyperlink w:history="1" r:id="rIder1hmyruditgldvreefn0">
        <w:r>
          <w:rPr>
            <w:rStyle w:val="Hyperlink"/>
            <w:sz w:val="16"/>
            <w:szCs w:val="16"/>
          </w:rPr>
          <w:t xml:space="preserve">https://laws.moj.gov.sa/ar/legislation/PBbHmywh1XMp-Kyv3NtQLg</w:t>
        </w:r>
      </w:hyperlink>
    </w:p>
    <w:p>
      <w:pPr>
        <w:bidi w:val="false"/>
        <w:ind w:start="360" w:hanging="360"/>
      </w:pPr>
      <w:r>
        <w:rPr>
          <w:sz w:val="18"/>
          <w:szCs w:val="18"/>
          <w:rtl w:val="false"/>
        </w:rPr>
        <w:t xml:space="preserve">[5] Abu Dhabi Judicial Department, Notary Public </w:t>
      </w:r>
      <w:hyperlink w:history="1" r:id="rIdrcpfbgmjbth0kbo6jbhxr">
        <w:r>
          <w:rPr>
            <w:rStyle w:val="Hyperlink"/>
            <w:sz w:val="16"/>
            <w:szCs w:val="16"/>
          </w:rPr>
          <w:t xml:space="preserve">https://www.adjd.gov.ae/EN/Pages/notarypublics.aspx</w:t>
        </w:r>
      </w:hyperlink>
    </w:p>
    <w:p>
      <w:pPr>
        <w:bidi w:val="false"/>
        <w:ind w:start="360" w:hanging="360"/>
      </w:pPr>
      <w:r>
        <w:rPr>
          <w:sz w:val="18"/>
          <w:szCs w:val="18"/>
          <w:rtl w:val="false"/>
        </w:rPr>
        <w:t xml:space="preserve">[6] UAE Ministry of Justice, e-Notary system </w:t>
      </w:r>
      <w:hyperlink w:history="1" r:id="rIdzllfpzrzcgbqde_we1e-x">
        <w:r>
          <w:rPr>
            <w:rStyle w:val="Hyperlink"/>
            <w:sz w:val="16"/>
            <w:szCs w:val="16"/>
          </w:rPr>
          <w:t xml:space="preserve">https://www.moj.gov.ae/en/services/esystems/e-notary.aspx</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The electronic service requires the beneficiary to be a Saudi or a resident with a valid ID, over 18, of full capacity, and with an active National Single Sign-On account. A company representative or an establishment owner uses Najiz Business.</w:t>
      </w:r>
      <w:r>
        <w:rPr>
          <w:rtl w:val="false"/>
        </w:rPr>
        <w:t xml:space="preserve"> [1]</w:t>
      </w:r>
      <w:r>
        <w:rPr>
          <w:rtl w:val="false"/>
        </w:rPr>
        <w:t xml:space="preserve"> If an agent files a </w:t>
      </w:r>
      <w:hyperlink w:history="1" r:id="rIdwkveqwpu03pavfrsrisou">
        <w:r>
          <w:rPr>
            <w:rStyle w:val="Hyperlink"/>
            <w:rtl w:val="false"/>
          </w:rPr>
          <w:t xml:space="preserve">statement of claim</w:t>
        </w:r>
      </w:hyperlink>
      <w:r>
        <w:rPr>
          <w:rtl w:val="false"/>
        </w:rPr>
        <w:t xml:space="preserve"> on Najiz, the power of attorney must be in force and include authority to plead.</w:t>
      </w:r>
      <w:r>
        <w:rPr>
          <w:rtl w:val="false"/>
        </w:rPr>
        <w:t xml:space="preserve"> [3]</w:t>
      </w:r>
    </w:p>
  </w:comment>
  <w:comment w:id="1" w:initials="Q" w:author="Qanu" w:date="2026-10-17T00:00:00.000Z">
    <w:p>
      <w:pPr>
        <w:bidi w:val="false"/>
      </w:pPr>
      <w:r>
        <w:rPr>
          <w:b/>
          <w:bCs/>
          <w:rtl w:val="false"/>
        </w:rPr>
        <w:t xml:space="preserve">Drafting note</w:t>
      </w:r>
    </w:p>
    <w:p>
      <w:pPr>
        <w:bidi w:val="false"/>
      </w:pPr>
      <w:r>
        <w:rPr>
          <w:rtl w:val="false"/>
        </w:rPr>
        <w:t xml:space="preserve">Delete the option that doesn’t apply. On Najiz the principal chooses the clauses one by one. The issued instrument is the one that binds, not this draft.</w:t>
      </w:r>
      <w:r>
        <w:rPr>
          <w:rtl w:val="false"/>
        </w:rPr>
        <w:t xml:space="preserve"> [1]</w:t>
      </w:r>
    </w:p>
  </w:comment>
  <w:comment w:id="2" w:initials="Q" w:author="Qanu" w:date="2026-10-17T00:00:00.000Z">
    <w:p>
      <w:pPr>
        <w:bidi w:val="false"/>
      </w:pPr>
      <w:r>
        <w:rPr>
          <w:b/>
          <w:bCs/>
          <w:rtl w:val="false"/>
        </w:rPr>
        <w:t xml:space="preserve">Drafting note</w:t>
      </w:r>
    </w:p>
    <w:p>
      <w:pPr>
        <w:bidi w:val="false"/>
      </w:pPr>
      <w:r>
        <w:rPr>
          <w:rtl w:val="false"/>
        </w:rPr>
        <w:t xml:space="preserve">Don’t leave a power open if you mean one transaction. Check the clauses Najiz offers before you approve the issue.</w:t>
      </w:r>
      <w:r>
        <w:rPr>
          <w:rtl w:val="false"/>
        </w:rPr>
        <w:t xml:space="preserve"> [1]</w:t>
      </w:r>
    </w:p>
  </w:comment>
  <w:comment w:id="3" w:initials="Q" w:author="Qanu" w:date="2026-10-17T00:00:00.000Z">
    <w:p>
      <w:pPr>
        <w:bidi w:val="false"/>
      </w:pPr>
      <w:r>
        <w:rPr>
          <w:b/>
          <w:bCs/>
          <w:rtl w:val="false"/>
        </w:rPr>
        <w:t xml:space="preserve">Drafting note</w:t>
      </w:r>
    </w:p>
    <w:p>
      <w:pPr>
        <w:bidi w:val="false"/>
      </w:pPr>
      <w:r>
        <w:rPr>
          <w:rtl w:val="false"/>
        </w:rPr>
        <w:t xml:space="preserve">This draft is not a substitute for the issued power of attorney. If the principal’s ID has expired, the Najiz service offers only the clauses for claims and courts.</w:t>
      </w:r>
      <w:r>
        <w:rPr>
          <w:rtl w:val="false"/>
        </w:rPr>
        <w:t xml:space="preserve"> [1]</w:t>
      </w:r>
    </w:p>
  </w:comment>
  <w:comment w:id="4" w:initials="Q" w:author="Qanu" w:date="2026-10-17T00:00:00.000Z">
    <w:p>
      <w:pPr>
        <w:bidi w:val="false"/>
      </w:pPr>
      <w:r>
        <w:rPr>
          <w:b/>
          <w:bCs/>
          <w:rtl w:val="false"/>
        </w:rPr>
        <w:t xml:space="preserve">Drafting note</w:t>
      </w:r>
    </w:p>
    <w:p>
      <w:pPr>
        <w:bidi w:val="false"/>
      </w:pPr>
      <w:r>
        <w:rPr>
          <w:rtl w:val="false"/>
        </w:rPr>
        <w:t xml:space="preserve">Delete the option you will not issue. Najiz distinguishes the capacity “agent under a power of attorney”.</w:t>
      </w:r>
      <w:r>
        <w:rPr>
          <w:rtl w:val="false"/>
        </w:rPr>
        <w:t xml:space="preserve"> [1]</w:t>
      </w:r>
    </w:p>
  </w:comment>
  <w:comment w:id="5" w:initials="Q" w:author="Qanu" w:date="2026-10-17T00:00:00.000Z">
    <w:p>
      <w:pPr>
        <w:bidi w:val="false"/>
      </w:pPr>
      <w:r>
        <w:rPr>
          <w:b/>
          <w:bCs/>
          <w:rtl w:val="false"/>
        </w:rPr>
        <w:t xml:space="preserve">Drafting note</w:t>
      </w:r>
    </w:p>
    <w:p>
      <w:pPr>
        <w:bidi w:val="false"/>
      </w:pPr>
      <w:r>
        <w:rPr>
          <w:rtl w:val="false"/>
        </w:rPr>
        <w:t xml:space="preserve">An electronic power of attorney on Najiz does not exceed one year.</w:t>
      </w:r>
      <w:r>
        <w:rPr>
          <w:rtl w:val="false"/>
        </w:rPr>
        <w:t xml:space="preserve"> [1]</w:t>
      </w:r>
      <w:r>
        <w:rPr>
          <w:rtl w:val="false"/>
        </w:rPr>
        <w:t xml:space="preserve"> This page states no longer maximum, and no notary fee.</w:t>
      </w:r>
    </w:p>
  </w:comment>
  <w:comment w:id="6" w:initials="Q" w:author="Qanu" w:date="2026-10-17T00:00:00.000Z">
    <w:p>
      <w:pPr>
        <w:bidi w:val="false"/>
      </w:pPr>
      <w:r>
        <w:rPr>
          <w:b/>
          <w:bCs/>
          <w:rtl w:val="false"/>
        </w:rPr>
        <w:t xml:space="preserve">Drafting note</w:t>
      </w:r>
    </w:p>
    <w:p>
      <w:pPr>
        <w:bidi w:val="false"/>
      </w:pPr>
      <w:r>
        <w:rPr>
          <w:rtl w:val="false"/>
        </w:rPr>
        <w:t xml:space="preserve">On the electronic service, either party, principal or agent, may partially withdraw from the power of attorney on Najiz or in the Najiz app at any time. It ends automatically if a party dies, through the link with the Ministry of Interior. Its validity can be checked on the verification services.</w:t>
      </w:r>
      <w:r>
        <w:rPr>
          <w:rtl w:val="false"/>
        </w:rPr>
        <w:t xml:space="preserve"> [1]</w:t>
      </w:r>
      <w:r>
        <w:rPr>
          <w:rtl w:val="false"/>
        </w:rPr>
        <w:t xml:space="preserve"> A person over 65 who has never issued a power of attorney issues the first one through the virtual notary or a licensed notary, and may issue later ones electronically.</w:t>
      </w:r>
      <w:r>
        <w:rPr>
          <w:rtl w:val="false"/>
        </w:rPr>
        <w:t xml:space="preserve"> [1]</w:t>
      </w:r>
    </w:p>
  </w:comment>
  <w:comment w:id="7" w:initials="Q" w:author="Qanu" w:date="2026-10-17T00:00:00.000Z">
    <w:p>
      <w:pPr>
        <w:bidi w:val="false"/>
      </w:pPr>
      <w:r>
        <w:rPr>
          <w:b/>
          <w:bCs/>
          <w:rtl w:val="false"/>
        </w:rPr>
        <w:t xml:space="preserve">Drafting note</w:t>
      </w:r>
    </w:p>
    <w:p>
      <w:pPr>
        <w:bidi w:val="false"/>
      </w:pPr>
      <w:r>
        <w:rPr>
          <w:rtl w:val="false"/>
        </w:rPr>
        <w:t xml:space="preserve">The Najiz service says the electronic power of attorney does not need to be printed, stamped or signed on paper.</w:t>
      </w:r>
      <w:r>
        <w:rPr>
          <w:rtl w:val="false"/>
        </w:rPr>
        <w:t xml:space="preserve"> [1]</w:t>
      </w:r>
      <w:r>
        <w:rPr>
          <w:rtl w:val="false"/>
        </w:rPr>
        <w:t xml:space="preserve"> The signature lines above are for a draft you review before issue.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https://www.qanu.ai/en/templates/power-of-attorney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https://www.qanu.ai/en/templates/power-of-attorney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wkveqwpu03pavfrsrisou" Type="http://schemas.openxmlformats.org/officeDocument/2006/relationships/hyperlink" Target="https://www.qanu.ai/en/templates/statement-of-claim"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epz8ubwenfrkchca11-jo" Type="http://schemas.openxmlformats.org/officeDocument/2006/relationships/hyperlink" Target="https://www.moj.gov.sa/ar/eServices/pages/3472d517-7cb4-4cd5-a6bc-2abc9751eea3.aspx" TargetMode="External"/><Relationship Id="rIdi6eljgcazgivodwff8slf" Type="http://schemas.openxmlformats.org/officeDocument/2006/relationships/hyperlink" Target="https://najiz.sa/applications/landing" TargetMode="External"/><Relationship Id="rIdnrw3b5bfz_gupjth74pch" Type="http://schemas.openxmlformats.org/officeDocument/2006/relationships/hyperlink" Target="https://www.adjd.gov.ae/EN/Pages/notarypublics.aspx" TargetMode="External"/><Relationship Id="rIdkjgavk2gvm4ylhfpyw_i2" Type="http://schemas.openxmlformats.org/officeDocument/2006/relationships/hyperlink" Target="https://www.moj.gov.ae/en/services/esystems/e-notary.aspx" TargetMode="External"/><Relationship Id="rId-2fld3fm1vyywtckystrx" Type="http://schemas.openxmlformats.org/officeDocument/2006/relationships/hyperlink" Target="https://creativecommons.org/licenses/by/4.0/deed.en" TargetMode="External"/><Relationship Id="rIds9okpwgypalgs1vbjvcim" Type="http://schemas.openxmlformats.org/officeDocument/2006/relationships/hyperlink" Target="https://www.moj.gov.sa/ar/eServices/pages/3472d517-7cb4-4cd5-a6bc-2abc9751eea3.aspx" TargetMode="External"/><Relationship Id="rIdit9oon8lpnlvnfclc4avj" Type="http://schemas.openxmlformats.org/officeDocument/2006/relationships/hyperlink" Target="https://najiz.sa/applications/landing" TargetMode="External"/><Relationship Id="rIdvqrfp7cvmvkzaavacepvq" Type="http://schemas.openxmlformats.org/officeDocument/2006/relationships/hyperlink" Target="https://www.moj.gov.sa/ar/eServices/Pages/928b8f02-19a7-482b-ba0e-29a151d9a900.aspx" TargetMode="External"/><Relationship Id="rIder1hmyruditgldvreefn0" Type="http://schemas.openxmlformats.org/officeDocument/2006/relationships/hyperlink" Target="https://laws.moj.gov.sa/ar/legislation/PBbHmywh1XMp-Kyv3NtQLg" TargetMode="External"/><Relationship Id="rIdrcpfbgmjbth0kbo6jbhxr" Type="http://schemas.openxmlformats.org/officeDocument/2006/relationships/hyperlink" Target="https://www.adjd.gov.ae/EN/Pages/notarypublics.aspx" TargetMode="External"/><Relationship Id="rIdzllfpzrzcgbqde_we1e-x" Type="http://schemas.openxmlformats.org/officeDocument/2006/relationships/hyperlink" Target="https://www.moj.gov.ae/en/services/esystems/e-notary.aspx"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attorney template (general or special)</dc:title>
  <dc:creator>Qanu</dc:creator>
  <cp:keywords>Power of attorney, Najiz, Notary public,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2026-10-17T19:32:14.171Z</dcterms:created>
  <dcterms:modified xsi:type="dcterms:W3CDTF">2026-10-17T19:32:14.171Z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https://www.qanu.ai/en/templates/power-of-attorney</vt:lpwstr>
  </property>
</Properties>
</file>