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11111" w:sz="12" w:space="6"/>
          <w:left w:val="single" w:color="111111" w:sz="12" w:space="6"/>
          <w:bottom w:val="single" w:color="111111" w:sz="12" w:space="6"/>
          <w:right w:val="single" w:color="111111" w:sz="12" w:space="6"/>
        </w:pBdr>
        <w:shd w:fill="FFF4D6" w:color="auto" w:val="clear"/>
        <w:bidi w:val="false"/>
      </w:pPr>
      <w:r>
        <w:rPr>
          <w:b/>
          <w:bCs/>
          <w:rtl w:val="false"/>
        </w:rPr>
        <w:t xml:space="preserve">Create the electronic promissory note on Nafith. This file is not it.</w:t>
      </w:r>
      <w:r>
        <w:rPr>
          <w:rtl w:val="false"/>
        </w:rPr>
        <w:t xml:space="preserve"> Nafith creates and registers the promissory note electronically with the elements required by the Commercial Papers Law. The debtor’s promise is recorded by the electronic authentication the platform describes.</w:t>
      </w:r>
      <w:r>
        <w:rPr>
          <w:rtl w:val="false"/>
        </w:rPr>
        <w:t xml:space="preserve"> [1]</w:t>
      </w:r>
      <w:r>
        <w:rPr>
          <w:rtl w:val="false"/>
        </w:rPr>
        <w:t xml:space="preserve"> The creditor asks for the note. Citizens, residents, and establishments registered in Saudi Arabia may use the service. The data are those the Commercial Papers Law requires, as the platform shows them to the creditor.</w:t>
      </w:r>
      <w:r>
        <w:rPr>
          <w:rtl w:val="false"/>
        </w:rPr>
        <w:t xml:space="preserve"> [2]</w:t>
      </w:r>
      <w:r>
        <w:rPr>
          <w:rtl w:val="false"/>
        </w:rPr>
        <w:t xml:space="preserve"> The Enforcement Law issued by Royal Decree No. M/237 of 3/11/1447H replaces the 1433H Enforcement Law and applies from its entry into force, 180 days after its publication on 1 May 2026.</w:t>
      </w:r>
      <w:r>
        <w:rPr>
          <w:rtl w:val="false"/>
        </w:rPr>
        <w:t xml:space="preserve"> [4]</w:t>
      </w:r>
      <w:r>
        <w:rPr>
          <w:rtl w:val="false"/>
        </w:rPr>
        <w:t xml:space="preserve"> Before that, Article 9 of the 1433H law applied: compulsory enforcement required an enforcement instrument for a right that is quantified and currently due, and commercial papers were among those instruments.</w:t>
      </w:r>
      <w:r>
        <w:rPr>
          <w:rtl w:val="false"/>
        </w:rPr>
        <w:t xml:space="preserve"> [5]</w:t>
      </w:r>
      <w:r>
        <w:rPr>
          <w:rtl w:val="false"/>
        </w:rPr>
        <w:t xml:space="preserve"> From entry into force, a promissory note is an enforcement instrument only if it is registered on the national electronic platforms (Article 7(1)(d)).</w:t>
      </w:r>
      <w:r>
        <w:rPr>
          <w:rtl w:val="false"/>
        </w:rPr>
        <w:t xml:space="preserve"> [4]</w:t>
      </w:r>
      <w:r>
        <w:rPr>
          <w:rtl w:val="false"/>
        </w:rPr>
        <w:t xml:space="preserve"> Under Clause Fifth of the decree, a promissory note issued before entry into force remains an enforcement instrument for one year after entry into force if it meets the statutory conditions, even if it is not registered on the national electronic platforms.</w:t>
      </w:r>
      <w:r>
        <w:rPr>
          <w:rtl w:val="false"/>
        </w:rPr>
        <w:t xml:space="preserve"> [4]</w:t>
      </w:r>
      <w:r>
        <w:rPr>
          <w:rtl w:val="false"/>
        </w:rPr>
        <w:t xml:space="preserve"> This checklist does not itself meet that test, and it does not open a file at Najiz.</w:t>
      </w:r>
      <w:r>
        <w:rPr>
          <w:rtl w:val="false"/>
        </w:rPr>
        <w:t xml:space="preserve"> [6]</w:t>
      </w:r>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Nafith: </w:t>
      </w:r>
      <w:hyperlink w:history="1" r:id="rIdqa_3ex8d7jvb8to78ydje">
        <w:r>
          <w:rPr>
            <w:rStyle w:val="Hyperlink"/>
            <w:sz w:val="17"/>
            <w:szCs w:val="17"/>
          </w:rPr>
          <w:t xml:space="preserve">https://nafith.sa/execution_documents/</w:t>
        </w:r>
      </w:hyperlink>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Nafith FAQ: </w:t>
      </w:r>
      <w:hyperlink w:history="1" r:id="rIdks90hibs17wclrsdwu2rv">
        <w:r>
          <w:rPr>
            <w:rStyle w:val="Hyperlink"/>
            <w:sz w:val="17"/>
            <w:szCs w:val="17"/>
          </w:rPr>
          <w:t xml:space="preserve">https://nafith.sa/faq/</w:t>
        </w:r>
      </w:hyperlink>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Commercial Papers Law: </w:t>
      </w:r>
      <w:hyperlink w:history="1" r:id="rIdmmvojoxnah21fjv3ip7qi">
        <w:r>
          <w:rPr>
            <w:rStyle w:val="Hyperlink"/>
            <w:sz w:val="17"/>
            <w:szCs w:val="17"/>
          </w:rPr>
          <w:t xml:space="preserve">https://laws.boe.gov.sa/BoeLaws/Laws/LawDetails/4763eb94-047b-46f1-9697-a9a700f1b7ed/1</w:t>
        </w:r>
      </w:hyperlink>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Enforcement Law (M/237): </w:t>
      </w:r>
      <w:hyperlink w:history="1" r:id="rIdwptxvpgxvhdmtr-fprphg">
        <w:r>
          <w:rPr>
            <w:rStyle w:val="Hyperlink"/>
            <w:sz w:val="17"/>
            <w:szCs w:val="17"/>
          </w:rPr>
          <w:t xml:space="preserve">https://laws.boe.gov.sa/BoeLaws/Laws/LawDetails/67dd54bc-c33a-48c8-8356-b44700a9ab55/1</w:t>
        </w:r>
      </w:hyperlink>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Enforcement Law 1433H: </w:t>
      </w:r>
      <w:hyperlink w:history="1" r:id="rIddvn4ndvs_q4k1h5zoxowl">
        <w:r>
          <w:rPr>
            <w:rStyle w:val="Hyperlink"/>
            <w:sz w:val="17"/>
            <w:szCs w:val="17"/>
          </w:rPr>
          <w:t xml:space="preserve">https://laws.boe.gov.sa/BoeLaws/Laws/LawDetails/c81ba2f1-1bf1-443b-9b1c-a9a700f27110/1</w:t>
        </w:r>
      </w:hyperlink>
    </w:p>
    <w:p>
      <w:pPr>
        <w:bidi w:val="false"/>
        <w:spacing w:after="240"/>
      </w:pPr>
    </w:p>
    <w:p>
      <w:pPr>
        <w:pStyle w:val="Title"/>
        <w:bidi w:val="false"/>
      </w:pPr>
      <w:r>
        <w:rPr>
          <w:rtl w:val="false"/>
        </w:rPr>
        <w:t xml:space="preserve">Promissory note: drafting checklist</w:t>
      </w:r>
    </w:p>
    <w:p>
      <w:pPr>
        <w:bidi w:val="false"/>
        <w:spacing w:after="240"/>
      </w:pPr>
      <w:r>
        <w:rPr>
          <w:color w:val="444444"/>
          <w:rtl w:val="false"/>
        </w:rPr>
        <w:t xml:space="preserve">A checklist of the elements in Articles 87 and 88 of the Saudi Commercial Papers Law, to prepare before a creditor creates an electronic promissory note on Nafith. This file is not that note. Replace every </w:t>
      </w:r>
      <w:r>
        <w:rPr>
          <w:color w:val="444444"/>
          <w:highlight w:val="yellow"/>
          <w:rtl w:val="false"/>
        </w:rPr>
        <w:t xml:space="preserve">[</w:t>
      </w:r>
      <w:r>
        <w:rPr>
          <w:color w:val="444444"/>
          <w:highlight w:val="yellow"/>
          <w:rtl w:val="false"/>
        </w:rPr>
        <w:t xml:space="preserve">placeholder</w:t>
      </w:r>
      <w:r>
        <w:rPr>
          <w:color w:val="444444"/>
          <w:highlight w:val="yellow"/>
          <w:rtl w:val="false"/>
        </w:rPr>
        <w:t xml:space="preserve">]</w:t>
      </w:r>
      <w:r>
        <w:rPr>
          <w:color w:val="444444"/>
          <w:rtl w:val="false"/>
        </w:rPr>
        <w:t xml:space="preserve">. Do not sign this file and file it as an enforcement instrument.</w:t>
      </w:r>
    </w:p>
    <w:p>
      <w:pPr>
        <w:pStyle w:val="Heading1"/>
        <w:bidi w:val="false"/>
      </w:pPr>
      <w:r>
        <w:rPr>
          <w:rtl w:val="false"/>
        </w:rPr>
        <w:t xml:space="preserve">1. This file is not the note</w:t>
      </w:r>
    </w:p>
    <w:p>
      <w:pPr>
        <w:bidi w:val="false"/>
      </w:pPr>
      <w:r>
        <w:rPr>
          <w:rtl w:val="false"/>
        </w:rPr>
        <w:t xml:space="preserve">The electronic promissory note is created on Nafith, after the debtor approves the creditor’s request.</w:t>
      </w:r>
      <w:r>
        <w:rPr>
          <w:rtl w:val="false"/>
        </w:rPr>
        <w:t xml:space="preserve"> Filling in the placeholders below only prepares the elements. It does not issue a note, it does not bind a debtor, and it is not an enforcement filing.</w:t>
      </w:r>
    </w:p>
    <w:p>
      <w:pPr>
        <w:pStyle w:val="Heading1"/>
        <w:bidi w:val="false"/>
      </w:pPr>
      <w:commentRangeStart w:id="0"/>
      <w:r>
        <w:rPr>
          <w:rtl w:val="false"/>
        </w:rPr>
        <w:t xml:space="preserve">2. The words “سند لأمر”</w:t>
      </w:r>
      <w:commentRangeEnd w:id="0"/>
      <w:r>
        <w:rPr>
          <w:rtl w:val="false"/>
        </w:rPr>
        <w:commentReference w:id="0"/>
      </w:r>
    </w:p>
    <w:p>
      <w:pPr>
        <w:bidi w:val="false"/>
      </w:pPr>
      <w:r>
        <w:rPr>
          <w:rtl w:val="false"/>
        </w:rPr>
        <w:t xml:space="preserve">Article 87 (a): the note contains an order clause, or the words “سند لأمر”, written in the body and in the language in which the note is written.</w:t>
      </w:r>
      <w:r>
        <w:rPr>
          <w:rtl w:val="false"/>
        </w:rPr>
        <w:t xml:space="preserve"> Language of the note the parties will use on Nafith: </w:t>
      </w:r>
      <w:r>
        <w:rPr>
          <w:highlight w:val="yellow"/>
          <w:rtl w:val="false"/>
        </w:rPr>
        <w:t xml:space="preserve">[</w:t>
      </w:r>
      <w:r>
        <w:rPr>
          <w:highlight w:val="yellow"/>
          <w:rtl w:val="false"/>
        </w:rPr>
        <w:t xml:space="preserve">Arabic / other: ●</w:t>
      </w:r>
      <w:r>
        <w:rPr>
          <w:highlight w:val="yellow"/>
          <w:rtl w:val="false"/>
        </w:rPr>
        <w:t xml:space="preserve">]</w:t>
      </w:r>
      <w:r>
        <w:rPr>
          <w:rtl w:val="false"/>
        </w:rPr>
        <w:t xml:space="preserve">.</w:t>
      </w:r>
    </w:p>
    <w:p>
      <w:pPr>
        <w:pStyle w:val="Heading1"/>
        <w:bidi w:val="false"/>
      </w:pPr>
      <w:commentRangeStart w:id="1"/>
      <w:r>
        <w:rPr>
          <w:rtl w:val="false"/>
        </w:rPr>
        <w:t xml:space="preserve">3. Unconditional promise and the sum</w:t>
      </w:r>
      <w:commentRangeEnd w:id="1"/>
      <w:r>
        <w:rPr>
          <w:rtl w:val="false"/>
        </w:rPr>
        <w:commentReference w:id="1"/>
      </w:r>
    </w:p>
    <w:p>
      <w:pPr>
        <w:bidi w:val="false"/>
      </w:pPr>
      <w:r>
        <w:rPr>
          <w:rtl w:val="false"/>
        </w:rPr>
        <w:t xml:space="preserve">Article 87 (b): an unconditional promise to pay a sum certain of money.</w:t>
      </w:r>
      <w:r>
        <w:rPr>
          <w:rtl w:val="false"/>
        </w:rPr>
        <w:t xml:space="preserve"> Maker (the person who will sign on Nafith): </w:t>
      </w:r>
      <w:r>
        <w:rPr>
          <w:highlight w:val="yellow"/>
          <w:rtl w:val="false"/>
        </w:rPr>
        <w:t xml:space="preserve">[</w:t>
      </w:r>
      <w:r>
        <w:rPr>
          <w:highlight w:val="yellow"/>
          <w:rtl w:val="false"/>
        </w:rPr>
        <w:t xml:space="preserve">name, ID or CR</w:t>
      </w:r>
      <w:r>
        <w:rPr>
          <w:highlight w:val="yellow"/>
          <w:rtl w:val="false"/>
        </w:rPr>
        <w:t xml:space="preserve">]</w:t>
      </w:r>
      <w:r>
        <w:rPr>
          <w:rtl w:val="false"/>
        </w:rPr>
        <w:t xml:space="preserve">. Promise: to pay </w:t>
      </w:r>
      <w:r>
        <w:rPr>
          <w:highlight w:val="yellow"/>
          <w:rtl w:val="false"/>
        </w:rPr>
        <w:t xml:space="preserve">[</w:t>
      </w:r>
      <w:r>
        <w:rPr>
          <w:highlight w:val="yellow"/>
          <w:rtl w:val="false"/>
        </w:rPr>
        <w:t xml:space="preserve">amount in figures</w:t>
      </w:r>
      <w:r>
        <w:rPr>
          <w:highlight w:val="yellow"/>
          <w:rtl w:val="false"/>
        </w:rPr>
        <w:t xml:space="preserve">]</w:t>
      </w:r>
      <w:r>
        <w:rPr>
          <w:rtl w:val="false"/>
        </w:rPr>
        <w:t xml:space="preserve"> (</w:t>
      </w:r>
      <w:r>
        <w:rPr>
          <w:highlight w:val="yellow"/>
          <w:rtl w:val="false"/>
        </w:rPr>
        <w:t xml:space="preserve">[</w:t>
      </w:r>
      <w:r>
        <w:rPr>
          <w:highlight w:val="yellow"/>
          <w:rtl w:val="false"/>
        </w:rPr>
        <w:t xml:space="preserve">amount in words</w:t>
      </w:r>
      <w:r>
        <w:rPr>
          <w:highlight w:val="yellow"/>
          <w:rtl w:val="false"/>
        </w:rPr>
        <w:t xml:space="preserve">]</w:t>
      </w:r>
      <w:r>
        <w:rPr>
          <w:rtl w:val="false"/>
        </w:rPr>
        <w:t xml:space="preserve">) </w:t>
      </w:r>
      <w:r>
        <w:rPr>
          <w:highlight w:val="yellow"/>
          <w:rtl w:val="false"/>
        </w:rPr>
        <w:t xml:space="preserve">[</w:t>
      </w:r>
      <w:r>
        <w:rPr>
          <w:highlight w:val="yellow"/>
          <w:rtl w:val="false"/>
        </w:rPr>
        <w:t xml:space="preserve">currency</w:t>
      </w:r>
      <w:r>
        <w:rPr>
          <w:highlight w:val="yellow"/>
          <w:rtl w:val="false"/>
        </w:rPr>
        <w:t xml:space="preserve">]</w:t>
      </w:r>
      <w:r>
        <w:rPr>
          <w:rtl w:val="false"/>
        </w:rPr>
        <w:t xml:space="preserve">, with no condition.</w:t>
      </w:r>
    </w:p>
    <w:p>
      <w:pPr>
        <w:pStyle w:val="Heading1"/>
        <w:bidi w:val="false"/>
      </w:pPr>
      <w:commentRangeStart w:id="2"/>
      <w:r>
        <w:rPr>
          <w:rtl w:val="false"/>
        </w:rPr>
        <w:t xml:space="preserve">4. Maturity</w:t>
      </w:r>
      <w:commentRangeEnd w:id="2"/>
      <w:r>
        <w:rPr>
          <w:rtl w:val="false"/>
        </w:rPr>
        <w:commentReference w:id="2"/>
      </w:r>
    </w:p>
    <w:p>
      <w:pPr>
        <w:bidi w:val="false"/>
      </w:pPr>
      <w:r>
        <w:rPr>
          <w:rtl w:val="false"/>
        </w:rPr>
        <w:t xml:space="preserve">Article 87 (c): the maturity date.</w:t>
      </w:r>
      <w:r>
        <w:rPr>
          <w:rtl w:val="false"/>
        </w:rPr>
        <w:t xml:space="preserve"> The note the parties will create is payable on </w:t>
      </w:r>
      <w:r>
        <w:rPr>
          <w:highlight w:val="yellow"/>
          <w:rtl w:val="false"/>
        </w:rPr>
        <w:t xml:space="preserve">[</w:t>
      </w:r>
      <w:r>
        <w:rPr>
          <w:highlight w:val="yellow"/>
          <w:rtl w:val="false"/>
        </w:rPr>
        <w:t xml:space="preserve">date</w:t>
      </w:r>
      <w:r>
        <w:rPr>
          <w:highlight w:val="yellow"/>
          <w:rtl w:val="false"/>
        </w:rPr>
        <w:t xml:space="preserve">]</w:t>
      </w:r>
      <w:r>
        <w:rPr>
          <w:rtl w:val="false"/>
        </w:rPr>
        <w:t xml:space="preserve">, or on sight, or </w:t>
      </w:r>
      <w:r>
        <w:rPr>
          <w:highlight w:val="yellow"/>
          <w:rtl w:val="false"/>
        </w:rPr>
        <w:t xml:space="preserve">[</w:t>
      </w:r>
      <w:r>
        <w:rPr>
          <w:highlight w:val="yellow"/>
          <w:rtl w:val="false"/>
        </w:rPr>
        <w:t xml:space="preserve">a date that can be fixed: ●</w:t>
      </w:r>
      <w:r>
        <w:rPr>
          <w:highlight w:val="yellow"/>
          <w:rtl w:val="false"/>
        </w:rPr>
        <w:t xml:space="preserve">]</w:t>
      </w:r>
      <w:r>
        <w:rPr>
          <w:rtl w:val="false"/>
        </w:rPr>
        <w:t xml:space="preserve">.</w:t>
      </w:r>
    </w:p>
    <w:p>
      <w:pPr>
        <w:pStyle w:val="Heading1"/>
        <w:bidi w:val="false"/>
      </w:pPr>
      <w:commentRangeStart w:id="3"/>
      <w:r>
        <w:rPr>
          <w:rtl w:val="false"/>
        </w:rPr>
        <w:t xml:space="preserve">5. Place of payment</w:t>
      </w:r>
      <w:commentRangeEnd w:id="3"/>
      <w:r>
        <w:rPr>
          <w:rtl w:val="false"/>
        </w:rPr>
        <w:commentReference w:id="3"/>
      </w:r>
    </w:p>
    <w:p>
      <w:pPr>
        <w:bidi w:val="false"/>
      </w:pPr>
      <w:r>
        <w:rPr>
          <w:rtl w:val="false"/>
        </w:rPr>
        <w:t xml:space="preserve">Article 87 (d): the place of payment.</w:t>
      </w:r>
      <w:r>
        <w:rPr>
          <w:rtl w:val="false"/>
        </w:rPr>
        <w:t xml:space="preserve"> Place of payment: </w:t>
      </w:r>
      <w:r>
        <w:rPr>
          <w:highlight w:val="yellow"/>
          <w:rtl w:val="false"/>
        </w:rPr>
        <w:t xml:space="preserve">[</w:t>
      </w:r>
      <w:r>
        <w:rPr>
          <w:highlight w:val="yellow"/>
          <w:rtl w:val="false"/>
        </w:rPr>
        <w:t xml:space="preserve">city</w:t>
      </w:r>
      <w:r>
        <w:rPr>
          <w:highlight w:val="yellow"/>
          <w:rtl w:val="false"/>
        </w:rPr>
        <w:t xml:space="preserve">]</w:t>
      </w:r>
      <w:r>
        <w:rPr>
          <w:rtl w:val="false"/>
        </w:rPr>
        <w:t xml:space="preserve">.</w:t>
      </w:r>
    </w:p>
    <w:p>
      <w:pPr>
        <w:pStyle w:val="Heading1"/>
        <w:bidi w:val="false"/>
      </w:pPr>
      <w:commentRangeStart w:id="4"/>
      <w:r>
        <w:rPr>
          <w:rtl w:val="false"/>
        </w:rPr>
        <w:t xml:space="preserve">6. The person to be paid</w:t>
      </w:r>
      <w:commentRangeEnd w:id="4"/>
      <w:r>
        <w:rPr>
          <w:rtl w:val="false"/>
        </w:rPr>
        <w:commentReference w:id="4"/>
      </w:r>
    </w:p>
    <w:p>
      <w:pPr>
        <w:bidi w:val="false"/>
      </w:pPr>
      <w:r>
        <w:rPr>
          <w:rtl w:val="false"/>
        </w:rPr>
        <w:t xml:space="preserve">Article 87 (e): the name of the person to whom, or to whose order, payment must be made.</w:t>
      </w:r>
      <w:r>
        <w:rPr>
          <w:rtl w:val="false"/>
        </w:rPr>
        <w:t xml:space="preserve"> Payee (creditor on Nafith): </w:t>
      </w:r>
      <w:r>
        <w:rPr>
          <w:highlight w:val="yellow"/>
          <w:rtl w:val="false"/>
        </w:rPr>
        <w:t xml:space="preserve">[</w:t>
      </w:r>
      <w:r>
        <w:rPr>
          <w:highlight w:val="yellow"/>
          <w:rtl w:val="false"/>
        </w:rPr>
        <w:t xml:space="preserve">name, ID or CR</w:t>
      </w:r>
      <w:r>
        <w:rPr>
          <w:highlight w:val="yellow"/>
          <w:rtl w:val="false"/>
        </w:rPr>
        <w:t xml:space="preserve">]</w:t>
      </w:r>
      <w:r>
        <w:rPr>
          <w:rtl w:val="false"/>
        </w:rPr>
        <w:t xml:space="preserve">.</w:t>
      </w:r>
    </w:p>
    <w:p>
      <w:pPr>
        <w:pStyle w:val="Heading1"/>
        <w:bidi w:val="false"/>
      </w:pPr>
      <w:commentRangeStart w:id="5"/>
      <w:r>
        <w:rPr>
          <w:rtl w:val="false"/>
        </w:rPr>
        <w:t xml:space="preserve">7. Date and place of issue</w:t>
      </w:r>
      <w:commentRangeEnd w:id="5"/>
      <w:r>
        <w:rPr>
          <w:rtl w:val="false"/>
        </w:rPr>
        <w:commentReference w:id="5"/>
      </w:r>
    </w:p>
    <w:p>
      <w:pPr>
        <w:bidi w:val="false"/>
      </w:pPr>
      <w:r>
        <w:rPr>
          <w:rtl w:val="false"/>
        </w:rPr>
        <w:t xml:space="preserve">Article 87 (f): the date the note is made and the place it is made.</w:t>
      </w:r>
      <w:r>
        <w:rPr>
          <w:rtl w:val="false"/>
        </w:rPr>
        <w:t xml:space="preserve"> Date of issue: </w:t>
      </w:r>
      <w:r>
        <w:rPr>
          <w:highlight w:val="yellow"/>
          <w:rtl w:val="false"/>
        </w:rPr>
        <w:t xml:space="preserve">[</w:t>
      </w:r>
      <w:r>
        <w:rPr>
          <w:highlight w:val="yellow"/>
          <w:rtl w:val="false"/>
        </w:rPr>
        <w:t xml:space="preserve">date</w:t>
      </w:r>
      <w:r>
        <w:rPr>
          <w:highlight w:val="yellow"/>
          <w:rtl w:val="false"/>
        </w:rPr>
        <w:t xml:space="preserve">]</w:t>
      </w:r>
      <w:r>
        <w:rPr>
          <w:rtl w:val="false"/>
        </w:rPr>
        <w:t xml:space="preserve">. Place of issue: </w:t>
      </w:r>
      <w:r>
        <w:rPr>
          <w:highlight w:val="yellow"/>
          <w:rtl w:val="false"/>
        </w:rPr>
        <w:t xml:space="preserve">[</w:t>
      </w:r>
      <w:r>
        <w:rPr>
          <w:highlight w:val="yellow"/>
          <w:rtl w:val="false"/>
        </w:rPr>
        <w:t xml:space="preserve">city</w:t>
      </w:r>
      <w:r>
        <w:rPr>
          <w:highlight w:val="yellow"/>
          <w:rtl w:val="false"/>
        </w:rPr>
        <w:t xml:space="preserve">]</w:t>
      </w:r>
      <w:r>
        <w:rPr>
          <w:rtl w:val="false"/>
        </w:rPr>
        <w:t xml:space="preserve">.</w:t>
      </w:r>
    </w:p>
    <w:p>
      <w:pPr>
        <w:pStyle w:val="Heading1"/>
        <w:bidi w:val="false"/>
      </w:pPr>
      <w:r>
        <w:rPr>
          <w:rtl w:val="false"/>
        </w:rPr>
        <w:t xml:space="preserve">8. The maker’s signature</w:t>
      </w:r>
    </w:p>
    <w:p>
      <w:pPr>
        <w:bidi w:val="false"/>
      </w:pPr>
      <w:r>
        <w:rPr>
          <w:rtl w:val="false"/>
        </w:rPr>
        <w:t xml:space="preserve">Article 87 (g): the signature of the person who makes the note (the maker).</w:t>
      </w:r>
      <w:r>
        <w:rPr>
          <w:rtl w:val="false"/>
        </w:rPr>
        <w:t xml:space="preserve"> On Nafith that approval is the debtor’s approval inside the platform, not a signature on this file.</w:t>
      </w:r>
    </w:p>
    <w:p>
      <w:pPr>
        <w:pStyle w:val="Heading1"/>
        <w:bidi w:val="false"/>
      </w:pPr>
      <w:commentRangeStart w:id="6"/>
      <w:r>
        <w:rPr>
          <w:rtl w:val="false"/>
        </w:rPr>
        <w:t xml:space="preserve">9. Steps on Nafith</w:t>
      </w:r>
      <w:commentRangeEnd w:id="6"/>
      <w:r>
        <w:rPr>
          <w:rtl w:val="false"/>
        </w:rPr>
        <w:commentReference w:id="6"/>
      </w:r>
    </w:p>
    <w:p>
      <w:pPr>
        <w:bidi w:val="false"/>
        <w:ind w:start="360" w:hanging="0"/>
      </w:pPr>
      <w:r>
        <w:rPr>
          <w:rtl w:val="false"/>
        </w:rPr>
        <w:t xml:space="preserve">(a) Register on Nafith.</w:t>
      </w:r>
    </w:p>
    <w:p>
      <w:pPr>
        <w:bidi w:val="false"/>
        <w:ind w:start="360" w:hanging="0"/>
      </w:pPr>
      <w:r>
        <w:rPr>
          <w:rtl w:val="false"/>
        </w:rPr>
        <w:t xml:space="preserve">(b) The creditor chooses to issue a note and checks the other party’s details.</w:t>
      </w:r>
    </w:p>
    <w:p>
      <w:pPr>
        <w:bidi w:val="false"/>
        <w:ind w:start="360" w:hanging="0"/>
      </w:pPr>
      <w:r>
        <w:rPr>
          <w:rtl w:val="false"/>
        </w:rPr>
        <w:t xml:space="preserve">(c) The debtor’s approval is recorded. The creditor sets how long the debtor has to approve. When that time ends, the request is cancelled and the debtor can no longer approve it.</w:t>
      </w:r>
    </w:p>
    <w:p>
      <w:pPr>
        <w:bidi w:val="false"/>
        <w:ind w:start="360" w:hanging="0"/>
      </w:pPr>
      <w:r>
        <w:rPr>
          <w:rtl w:val="false"/>
        </w:rPr>
        <w:t xml:space="preserve">(d) The note is accepted, created, and archived. It cannot be amended after approval. The creditor may cancel it. The debtor may not.</w:t>
      </w:r>
    </w:p>
    <w:p>
      <w:pPr>
        <w:bidi w:val="false"/>
        <w:ind w:start="360" w:hanging="0"/>
      </w:pPr>
      <w:r>
        <w:rPr>
          <w:rtl w:val="false"/>
        </w:rPr>
        <w:t xml:space="preserve">(e) For enforcement, the Nafith FAQ says the request is filed on Najiz, the instrument type is an electronic commercial paper, the subtype is an electronic promissory note, and the note number is entered so Najiz fetches the data from Nafith.</w:t>
      </w:r>
    </w:p>
    <w:p>
      <w:pPr>
        <w:pStyle w:val="Heading1"/>
        <w:pageBreakBefore/>
        <w:bidi w:val="false"/>
      </w:pPr>
      <w:r>
        <w:rPr>
          <w:rtl w:val="false"/>
        </w:rPr>
        <w:t xml:space="preserve">Schedule A. Article 87 and Article 88</w:t>
      </w:r>
    </w:p>
    <w:p>
      <w:pPr>
        <w:bidi w:val="false"/>
      </w:pPr>
      <w:r>
        <w:rPr>
          <w:rtl w:val="false"/>
        </w:rPr>
        <w:t xml:space="preserve">Commercial Papers Law, Royal Decree No. 37 of 11/10/1383H (24 February 1964). Wording below follows the Bureau of Experts text.</w:t>
      </w:r>
      <w:r>
        <w:rPr>
          <w:rtl w:val="false"/>
        </w:rPr>
        <w:t xml:space="preserve"> [3]</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169"/>
        <w:gridCol w:w="3169"/>
        <w:gridCol w:w="3169"/>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Element</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Article 87</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If it is missing (Article 88)</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Order clause</w:t>
            </w:r>
          </w:p>
        </w:tc>
        <w:tc>
          <w:tcPr>
            <w:tcMar>
              <w:top w:type="dxa" w:w="80"/>
              <w:left w:type="dxa" w:w="100"/>
              <w:bottom w:type="dxa" w:w="80"/>
              <w:right w:type="dxa" w:w="100"/>
            </w:tcMar>
          </w:tcPr>
          <w:p>
            <w:pPr>
              <w:bidi w:val="false"/>
              <w:spacing w:after="0"/>
            </w:pPr>
            <w:r>
              <w:rPr>
                <w:b w:val="false"/>
                <w:sz w:val="18"/>
                <w:szCs w:val="18"/>
                <w:rtl w:val="false"/>
              </w:rPr>
              <w:t xml:space="preserve">An order clause, or the words “سند لأمر”, in the body and in the language of the note.</w:t>
            </w:r>
          </w:p>
        </w:tc>
        <w:tc>
          <w:tcPr>
            <w:tcMar>
              <w:top w:type="dxa" w:w="80"/>
              <w:left w:type="dxa" w:w="100"/>
              <w:bottom w:type="dxa" w:w="80"/>
              <w:right w:type="dxa" w:w="100"/>
            </w:tcMar>
          </w:tcPr>
          <w:p>
            <w:pPr>
              <w:bidi w:val="false"/>
              <w:spacing w:after="0"/>
            </w:pPr>
            <w:r>
              <w:rPr>
                <w:b w:val="false"/>
                <w:sz w:val="18"/>
                <w:szCs w:val="18"/>
                <w:rtl w:val="false"/>
              </w:rPr>
              <w:t xml:space="preserve">Not a promissory note. Article 88 states no exception for this omission.</w:t>
            </w:r>
            <w:r>
              <w:rPr>
                <w:b w:val="false"/>
                <w:sz w:val="18"/>
                <w:szCs w:val="18"/>
                <w:rtl w:val="false"/>
              </w:rPr>
              <w:t xml:space="preserve"> [3]</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Promise</w:t>
            </w:r>
          </w:p>
        </w:tc>
        <w:tc>
          <w:tcPr>
            <w:tcMar>
              <w:top w:type="dxa" w:w="80"/>
              <w:left w:type="dxa" w:w="100"/>
              <w:bottom w:type="dxa" w:w="80"/>
              <w:right w:type="dxa" w:w="100"/>
            </w:tcMar>
          </w:tcPr>
          <w:p>
            <w:pPr>
              <w:bidi w:val="false"/>
              <w:spacing w:after="0"/>
            </w:pPr>
            <w:r>
              <w:rPr>
                <w:b w:val="false"/>
                <w:sz w:val="18"/>
                <w:szCs w:val="18"/>
                <w:rtl w:val="false"/>
              </w:rPr>
              <w:t xml:space="preserve">An unconditional promise to pay a sum certain of money.</w:t>
            </w:r>
          </w:p>
        </w:tc>
        <w:tc>
          <w:tcPr>
            <w:tcMar>
              <w:top w:type="dxa" w:w="80"/>
              <w:left w:type="dxa" w:w="100"/>
              <w:bottom w:type="dxa" w:w="80"/>
              <w:right w:type="dxa" w:w="100"/>
            </w:tcMar>
          </w:tcPr>
          <w:p>
            <w:pPr>
              <w:bidi w:val="false"/>
              <w:spacing w:after="0"/>
            </w:pPr>
            <w:r>
              <w:rPr>
                <w:b w:val="false"/>
                <w:sz w:val="18"/>
                <w:szCs w:val="18"/>
                <w:rtl w:val="false"/>
              </w:rPr>
              <w:t xml:space="preserve">Not a promissory note. Article 88 states no exception for a missing promise or a missing sum.</w:t>
            </w:r>
            <w:r>
              <w:rPr>
                <w:b w:val="false"/>
                <w:sz w:val="18"/>
                <w:szCs w:val="18"/>
                <w:rtl w:val="false"/>
              </w:rPr>
              <w:t xml:space="preserve"> [3]</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Maturity</w:t>
            </w:r>
          </w:p>
        </w:tc>
        <w:tc>
          <w:tcPr>
            <w:tcMar>
              <w:top w:type="dxa" w:w="80"/>
              <w:left w:type="dxa" w:w="100"/>
              <w:bottom w:type="dxa" w:w="80"/>
              <w:right w:type="dxa" w:w="100"/>
            </w:tcMar>
          </w:tcPr>
          <w:p>
            <w:pPr>
              <w:bidi w:val="false"/>
              <w:spacing w:after="0"/>
            </w:pPr>
            <w:r>
              <w:rPr>
                <w:b w:val="false"/>
                <w:sz w:val="18"/>
                <w:szCs w:val="18"/>
                <w:rtl w:val="false"/>
              </w:rPr>
              <w:t xml:space="preserve">The maturity date.</w:t>
            </w:r>
          </w:p>
        </w:tc>
        <w:tc>
          <w:tcPr>
            <w:tcMar>
              <w:top w:type="dxa" w:w="80"/>
              <w:left w:type="dxa" w:w="100"/>
              <w:bottom w:type="dxa" w:w="80"/>
              <w:right w:type="dxa" w:w="100"/>
            </w:tcMar>
          </w:tcPr>
          <w:p>
            <w:pPr>
              <w:bidi w:val="false"/>
              <w:spacing w:after="0"/>
            </w:pPr>
            <w:r>
              <w:rPr>
                <w:b w:val="false"/>
                <w:sz w:val="18"/>
                <w:szCs w:val="18"/>
                <w:rtl w:val="false"/>
              </w:rPr>
              <w:t xml:space="preserve">The exception in Article 88 (a): treated as payable on sight.</w:t>
            </w:r>
            <w:r>
              <w:rPr>
                <w:b w:val="false"/>
                <w:sz w:val="18"/>
                <w:szCs w:val="18"/>
                <w:rtl w:val="false"/>
              </w:rPr>
              <w:t xml:space="preserve"> [3]</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Place of payment</w:t>
            </w:r>
          </w:p>
        </w:tc>
        <w:tc>
          <w:tcPr>
            <w:tcMar>
              <w:top w:type="dxa" w:w="80"/>
              <w:left w:type="dxa" w:w="100"/>
              <w:bottom w:type="dxa" w:w="80"/>
              <w:right w:type="dxa" w:w="100"/>
            </w:tcMar>
          </w:tcPr>
          <w:p>
            <w:pPr>
              <w:bidi w:val="false"/>
              <w:spacing w:after="0"/>
            </w:pPr>
            <w:r>
              <w:rPr>
                <w:b w:val="false"/>
                <w:sz w:val="18"/>
                <w:szCs w:val="18"/>
                <w:rtl w:val="false"/>
              </w:rPr>
              <w:t xml:space="preserve">The place of payment.</w:t>
            </w:r>
          </w:p>
        </w:tc>
        <w:tc>
          <w:tcPr>
            <w:tcMar>
              <w:top w:type="dxa" w:w="80"/>
              <w:left w:type="dxa" w:w="100"/>
              <w:bottom w:type="dxa" w:w="80"/>
              <w:right w:type="dxa" w:w="100"/>
            </w:tcMar>
          </w:tcPr>
          <w:p>
            <w:pPr>
              <w:bidi w:val="false"/>
              <w:spacing w:after="0"/>
            </w:pPr>
            <w:r>
              <w:rPr>
                <w:b w:val="false"/>
                <w:sz w:val="18"/>
                <w:szCs w:val="18"/>
                <w:rtl w:val="false"/>
              </w:rPr>
              <w:t xml:space="preserve">The exception in Article 88 (b): if the place of payment or the maker’s domicile is missing, the place of issue is the place of payment and the maker’s place.</w:t>
            </w:r>
            <w:r>
              <w:rPr>
                <w:b w:val="false"/>
                <w:sz w:val="18"/>
                <w:szCs w:val="18"/>
                <w:rtl w:val="false"/>
              </w:rPr>
              <w:t xml:space="preserve"> [3]</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Payee</w:t>
            </w:r>
          </w:p>
        </w:tc>
        <w:tc>
          <w:tcPr>
            <w:tcMar>
              <w:top w:type="dxa" w:w="80"/>
              <w:left w:type="dxa" w:w="100"/>
              <w:bottom w:type="dxa" w:w="80"/>
              <w:right w:type="dxa" w:w="100"/>
            </w:tcMar>
          </w:tcPr>
          <w:p>
            <w:pPr>
              <w:bidi w:val="false"/>
              <w:spacing w:after="0"/>
            </w:pPr>
            <w:r>
              <w:rPr>
                <w:b w:val="false"/>
                <w:sz w:val="18"/>
                <w:szCs w:val="18"/>
                <w:rtl w:val="false"/>
              </w:rPr>
              <w:t xml:space="preserve">The name of the person to whom, or to whose order, payment is due.</w:t>
            </w:r>
          </w:p>
        </w:tc>
        <w:tc>
          <w:tcPr>
            <w:tcMar>
              <w:top w:type="dxa" w:w="80"/>
              <w:left w:type="dxa" w:w="100"/>
              <w:bottom w:type="dxa" w:w="80"/>
              <w:right w:type="dxa" w:w="100"/>
            </w:tcMar>
          </w:tcPr>
          <w:p>
            <w:pPr>
              <w:bidi w:val="false"/>
              <w:spacing w:after="0"/>
            </w:pPr>
            <w:r>
              <w:rPr>
                <w:b w:val="false"/>
                <w:sz w:val="18"/>
                <w:szCs w:val="18"/>
                <w:rtl w:val="false"/>
              </w:rPr>
              <w:t xml:space="preserve">Not a promissory note. Article 88 states no exception for a missing name.</w:t>
            </w:r>
            <w:r>
              <w:rPr>
                <w:b w:val="false"/>
                <w:sz w:val="18"/>
                <w:szCs w:val="18"/>
                <w:rtl w:val="false"/>
              </w:rPr>
              <w:t xml:space="preserve"> [3]</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Place of issue</w:t>
            </w:r>
          </w:p>
        </w:tc>
        <w:tc>
          <w:tcPr>
            <w:tcMar>
              <w:top w:type="dxa" w:w="80"/>
              <w:left w:type="dxa" w:w="100"/>
              <w:bottom w:type="dxa" w:w="80"/>
              <w:right w:type="dxa" w:w="100"/>
            </w:tcMar>
          </w:tcPr>
          <w:p>
            <w:pPr>
              <w:bidi w:val="false"/>
              <w:spacing w:after="0"/>
            </w:pPr>
            <w:r>
              <w:rPr>
                <w:b w:val="false"/>
                <w:sz w:val="18"/>
                <w:szCs w:val="18"/>
                <w:rtl w:val="false"/>
              </w:rPr>
              <w:t xml:space="preserve">The place the note is made.</w:t>
            </w:r>
          </w:p>
        </w:tc>
        <w:tc>
          <w:tcPr>
            <w:tcMar>
              <w:top w:type="dxa" w:w="80"/>
              <w:left w:type="dxa" w:w="100"/>
              <w:bottom w:type="dxa" w:w="80"/>
              <w:right w:type="dxa" w:w="100"/>
            </w:tcMar>
          </w:tcPr>
          <w:p>
            <w:pPr>
              <w:bidi w:val="false"/>
              <w:spacing w:after="0"/>
            </w:pPr>
            <w:r>
              <w:rPr>
                <w:b w:val="false"/>
                <w:sz w:val="18"/>
                <w:szCs w:val="18"/>
                <w:rtl w:val="false"/>
              </w:rPr>
              <w:t xml:space="preserve">The exception in Article 88 (c): treated as made in the place shown beside the maker’s name.</w:t>
            </w:r>
            <w:r>
              <w:rPr>
                <w:b w:val="false"/>
                <w:sz w:val="18"/>
                <w:szCs w:val="18"/>
                <w:rtl w:val="false"/>
              </w:rPr>
              <w:t xml:space="preserve"> [3]</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Date of issue</w:t>
            </w:r>
          </w:p>
        </w:tc>
        <w:tc>
          <w:tcPr>
            <w:tcMar>
              <w:top w:type="dxa" w:w="80"/>
              <w:left w:type="dxa" w:w="100"/>
              <w:bottom w:type="dxa" w:w="80"/>
              <w:right w:type="dxa" w:w="100"/>
            </w:tcMar>
          </w:tcPr>
          <w:p>
            <w:pPr>
              <w:bidi w:val="false"/>
              <w:spacing w:after="0"/>
            </w:pPr>
            <w:r>
              <w:rPr>
                <w:b w:val="false"/>
                <w:sz w:val="18"/>
                <w:szCs w:val="18"/>
                <w:rtl w:val="false"/>
              </w:rPr>
              <w:t xml:space="preserve">The date the note is made.</w:t>
            </w:r>
          </w:p>
        </w:tc>
        <w:tc>
          <w:tcPr>
            <w:tcMar>
              <w:top w:type="dxa" w:w="80"/>
              <w:left w:type="dxa" w:w="100"/>
              <w:bottom w:type="dxa" w:w="80"/>
              <w:right w:type="dxa" w:w="100"/>
            </w:tcMar>
          </w:tcPr>
          <w:p>
            <w:pPr>
              <w:bidi w:val="false"/>
              <w:spacing w:after="0"/>
            </w:pPr>
            <w:r>
              <w:rPr>
                <w:b w:val="false"/>
                <w:sz w:val="18"/>
                <w:szCs w:val="18"/>
                <w:rtl w:val="false"/>
              </w:rPr>
              <w:t xml:space="preserve">Not a promissory note. Article 88 states no exception for a missing date.</w:t>
            </w:r>
            <w:r>
              <w:rPr>
                <w:b w:val="false"/>
                <w:sz w:val="18"/>
                <w:szCs w:val="18"/>
                <w:rtl w:val="false"/>
              </w:rPr>
              <w:t xml:space="preserve"> [3]</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Signature</w:t>
            </w:r>
          </w:p>
        </w:tc>
        <w:tc>
          <w:tcPr>
            <w:tcMar>
              <w:top w:type="dxa" w:w="80"/>
              <w:left w:type="dxa" w:w="100"/>
              <w:bottom w:type="dxa" w:w="80"/>
              <w:right w:type="dxa" w:w="100"/>
            </w:tcMar>
          </w:tcPr>
          <w:p>
            <w:pPr>
              <w:bidi w:val="false"/>
              <w:spacing w:after="0"/>
            </w:pPr>
            <w:r>
              <w:rPr>
                <w:b w:val="false"/>
                <w:sz w:val="18"/>
                <w:szCs w:val="18"/>
                <w:rtl w:val="false"/>
              </w:rPr>
              <w:t xml:space="preserve">The signature of the maker.</w:t>
            </w:r>
          </w:p>
        </w:tc>
        <w:tc>
          <w:tcPr>
            <w:tcMar>
              <w:top w:type="dxa" w:w="80"/>
              <w:left w:type="dxa" w:w="100"/>
              <w:bottom w:type="dxa" w:w="80"/>
              <w:right w:type="dxa" w:w="100"/>
            </w:tcMar>
          </w:tcPr>
          <w:p>
            <w:pPr>
              <w:bidi w:val="false"/>
              <w:spacing w:after="0"/>
            </w:pPr>
            <w:r>
              <w:rPr>
                <w:b w:val="false"/>
                <w:sz w:val="18"/>
                <w:szCs w:val="18"/>
                <w:rtl w:val="false"/>
              </w:rPr>
              <w:t xml:space="preserve">Not a promissory note. Article 88 states no exception for a missing signature.</w:t>
            </w:r>
            <w:r>
              <w:rPr>
                <w:b w:val="false"/>
                <w:sz w:val="18"/>
                <w:szCs w:val="18"/>
                <w:rtl w:val="false"/>
              </w:rPr>
              <w:t xml:space="preserve"> [3]</w:t>
            </w:r>
          </w:p>
        </w:tc>
      </w:tr>
    </w:tbl>
    <w:p>
      <w:pPr>
        <w:bidi w:val="false"/>
      </w:pPr>
    </w:p>
    <w:p>
      <w:pPr>
        <w:pStyle w:val="Heading1"/>
        <w:bidi w:val="false"/>
      </w:pPr>
      <w:r>
        <w:rPr>
          <w:rtl w:val="false"/>
        </w:rPr>
        <w:t xml:space="preserve">Outside Saudi Arabia</w:t>
      </w:r>
    </w:p>
    <w:p>
      <w:pPr>
        <w:pStyle w:val="ListParagraph"/>
        <w:numPr>
          <w:ilvl w:val="0"/>
          <w:numId w:val="2"/>
        </w:numPr>
        <w:bidi w:val="false"/>
      </w:pPr>
      <w:r>
        <w:rPr>
          <w:rtl w:val="false"/>
        </w:rPr>
        <w:t xml:space="preserve">This page states the Saudi Commercial Papers Law and the Nafith route only.</w:t>
      </w:r>
    </w:p>
    <w:p>
      <w:pPr>
        <w:pStyle w:val="ListParagraph"/>
        <w:numPr>
          <w:ilvl w:val="0"/>
          <w:numId w:val="2"/>
        </w:numPr>
        <w:bidi w:val="false"/>
      </w:pPr>
      <w:r>
        <w:rPr>
          <w:rtl w:val="false"/>
        </w:rPr>
        <w:t xml:space="preserve">It does not state a promissory-note rule for the UAE, Qatar, Bahrain, Kuwait or Oman, and it cites no article of Federal Decree-Law No. 25 of 2025.</w:t>
      </w:r>
    </w:p>
    <w:p>
      <w:pPr>
        <w:pStyle w:val="ListParagraph"/>
        <w:numPr>
          <w:ilvl w:val="0"/>
          <w:numId w:val="2"/>
        </w:numPr>
        <w:bidi w:val="false"/>
      </w:pPr>
      <w:r>
        <w:rPr>
          <w:rtl w:val="false"/>
        </w:rPr>
        <w:t xml:space="preserve">It does not say that a paper note is refused, or accepted, by an enforcement court. The Enforcement Law issued by Royal Decree No. M/237 of 3/11/1447H replaces the 1433H law and applies from its entry into force, 180 days after publication on 1 May 2026.</w:t>
      </w:r>
      <w:r>
        <w:rPr>
          <w:rtl w:val="false"/>
        </w:rPr>
        <w:t xml:space="preserve"> [4]</w:t>
      </w:r>
      <w:r>
        <w:rPr>
          <w:rtl w:val="false"/>
        </w:rPr>
        <w:t xml:space="preserve"> Before that, Article 9 applied and listed commercial papers as enforcement instruments for a quantified right that is currently due.</w:t>
      </w:r>
      <w:r>
        <w:rPr>
          <w:rtl w:val="false"/>
        </w:rPr>
        <w:t xml:space="preserve"> [5]</w:t>
      </w:r>
      <w:r>
        <w:rPr>
          <w:rtl w:val="false"/>
        </w:rPr>
        <w:t xml:space="preserve"> From entry into force, a promissory note is an enforcement instrument only if it is registered on the national electronic platforms (Article 7(1)(d)).</w:t>
      </w:r>
      <w:r>
        <w:rPr>
          <w:rtl w:val="false"/>
        </w:rPr>
        <w:t xml:space="preserve"> [4]</w:t>
      </w:r>
      <w:r>
        <w:rPr>
          <w:rtl w:val="false"/>
        </w:rPr>
        <w:t xml:space="preserve"> Under Clause Fifth of the decree, a promissory note issued before entry into force remains an enforcement instrument for one year after entry into force if it meets the statutory conditions, even if it is not registered on the national electronic platforms.</w:t>
      </w:r>
      <w:r>
        <w:rPr>
          <w:rtl w:val="false"/>
        </w:rPr>
        <w:t xml:space="preserve"> [4]</w:t>
      </w:r>
    </w:p>
    <w:p>
      <w:pPr>
        <w:pStyle w:val="Heading1"/>
        <w:pageBreakBefore/>
        <w:bidi w:val="false"/>
      </w:pPr>
      <w:r>
        <w:rPr>
          <w:rtl w:val="false"/>
        </w:rPr>
        <w:t xml:space="preserve">About this template</w:t>
      </w:r>
    </w:p>
    <w:p>
      <w:pPr>
        <w:bidi w:val="false"/>
      </w:pPr>
      <w:r>
        <w:rPr>
          <w:rtl w:val="false"/>
        </w:rPr>
        <w:t xml:space="preserve">This is a template, not legal advice. It does not create a lawyer–client relationship. Court rules, regulator guidance and laws change; check the official sources linked and have the contract reviewed by qualified counsel in each relevant jurisdiction. Last reviewed: 22 October 2026. Have it reviewed by a lawyer licensed in your jurisdiction before use. Where an official form or platform is mandatory, it prevails.</w:t>
      </w:r>
    </w:p>
    <w:p>
      <w:pPr>
        <w:bidi w:val="false"/>
      </w:pPr>
      <w:r>
        <w:rPr>
          <w:b/>
          <w:bCs/>
          <w:rtl w:val="false"/>
        </w:rPr>
        <w:t xml:space="preserve">How we prepared this template:</w:t>
      </w:r>
      <w:r>
        <w:rPr>
          <w:rtl w:val="false"/>
        </w:rPr>
        <w:t xml:space="preserve"> we drafted it from the official legislation and government platforms listed under Sources, and checked each legal statement against the official text on the review date. Where an official form or platform exists, we link to it and you should use it. Laws change; check the sources before use and have the final text reviewed by a licensed lawyer.</w:t>
      </w:r>
    </w:p>
    <w:p>
      <w:pPr>
        <w:bidi w:val="false"/>
      </w:pPr>
      <w:r>
        <w:rPr>
          <w:rtl w:val="false"/>
        </w:rPr>
        <w:t xml:space="preserve">The text of this page and the .docx downloads are licensed under </w:t>
      </w:r>
      <w:hyperlink w:history="1" r:id="rIdstbump3w2uewk4r--kxuq">
        <w:r>
          <w:rPr>
            <w:rStyle w:val="Hyperlink"/>
            <w:rtl w:val="false"/>
          </w:rPr>
          <w:t xml:space="preserve">Creative Commons Attribution 4.0 International (CC BY 4.0)</w:t>
        </w:r>
      </w:hyperlink>
      <w:r>
        <w:rPr>
          <w:rtl w:val="false"/>
        </w:rPr>
        <w:t xml:space="preserve">. The Qanu name and logo are not covered by the licence.</w:t>
      </w:r>
    </w:p>
    <w:p>
      <w:pPr>
        <w:bidi w:val="false"/>
      </w:pPr>
      <w:r>
        <w:rPr>
          <w:rtl w:val="false"/>
        </w:rPr>
        <w:t xml:space="preserve">Source: https://www.qanu.ai/en/templates/promissory-note · Last reviewed: 22 October 2026 · Not legal advice · CC BY 4.0</w:t>
      </w:r>
    </w:p>
    <w:p>
      <w:pPr>
        <w:pStyle w:val="Heading2"/>
        <w:bidi w:val="false"/>
      </w:pPr>
      <w:r>
        <w:rPr>
          <w:rtl w:val="false"/>
        </w:rPr>
        <w:t xml:space="preserve">Sources</w:t>
      </w:r>
    </w:p>
    <w:p>
      <w:pPr>
        <w:bidi w:val="false"/>
        <w:ind w:start="360" w:hanging="360"/>
      </w:pPr>
      <w:r>
        <w:rPr>
          <w:sz w:val="18"/>
          <w:szCs w:val="18"/>
          <w:rtl w:val="false"/>
        </w:rPr>
        <w:t xml:space="preserve">[1] Nafith, creating and registering an electronic promissory note </w:t>
      </w:r>
      <w:hyperlink w:history="1" r:id="rIdgxtf8iozuwlcqndd7pi-l">
        <w:r>
          <w:rPr>
            <w:rStyle w:val="Hyperlink"/>
            <w:sz w:val="16"/>
            <w:szCs w:val="16"/>
          </w:rPr>
          <w:t xml:space="preserve">https://nafith.sa/execution_documents/</w:t>
        </w:r>
      </w:hyperlink>
    </w:p>
    <w:p>
      <w:pPr>
        <w:bidi w:val="false"/>
        <w:ind w:start="360" w:hanging="360"/>
      </w:pPr>
      <w:r>
        <w:rPr>
          <w:sz w:val="18"/>
          <w:szCs w:val="18"/>
          <w:rtl w:val="false"/>
        </w:rPr>
        <w:t xml:space="preserve">[2] Nafith, frequently asked questions on the electronic promissory note </w:t>
      </w:r>
      <w:hyperlink w:history="1" r:id="rIdc7bkclmg8bozxz8jvnban">
        <w:r>
          <w:rPr>
            <w:rStyle w:val="Hyperlink"/>
            <w:sz w:val="16"/>
            <w:szCs w:val="16"/>
          </w:rPr>
          <w:t xml:space="preserve">https://nafith.sa/faq/</w:t>
        </w:r>
      </w:hyperlink>
    </w:p>
    <w:p>
      <w:pPr>
        <w:bidi w:val="false"/>
        <w:ind w:start="360" w:hanging="360"/>
      </w:pPr>
      <w:r>
        <w:rPr>
          <w:sz w:val="18"/>
          <w:szCs w:val="18"/>
          <w:rtl w:val="false"/>
        </w:rPr>
        <w:t xml:space="preserve">[3] Bureau of Experts, Commercial Papers Law (Royal Decree No. 37 of 11/10/1383H), Articles 87 and 88 </w:t>
      </w:r>
      <w:hyperlink w:history="1" r:id="rIdkohvhucuyanzzjgtyx3yk">
        <w:r>
          <w:rPr>
            <w:rStyle w:val="Hyperlink"/>
            <w:sz w:val="16"/>
            <w:szCs w:val="16"/>
          </w:rPr>
          <w:t xml:space="preserve">https://laws.boe.gov.sa/BoeLaws/Laws/LawDetails/4763eb94-047b-46f1-9697-a9a700f1b7ed/1</w:t>
        </w:r>
      </w:hyperlink>
    </w:p>
    <w:p>
      <w:pPr>
        <w:bidi w:val="false"/>
        <w:ind w:start="360" w:hanging="360"/>
      </w:pPr>
      <w:r>
        <w:rPr>
          <w:sz w:val="18"/>
          <w:szCs w:val="18"/>
          <w:rtl w:val="false"/>
        </w:rPr>
        <w:t xml:space="preserve">[4] Bureau of Experts, Enforcement Law (Royal Decree No. M/237 of 3/11/1447H), Article 7(1)(d) and Clause Fifth of the decree; published 1 May 2026, in force 180 days after publication, and replaces the 1433H law </w:t>
      </w:r>
      <w:hyperlink w:history="1" r:id="rId3e_-h30sey1z4vceqnq_-">
        <w:r>
          <w:rPr>
            <w:rStyle w:val="Hyperlink"/>
            <w:sz w:val="16"/>
            <w:szCs w:val="16"/>
          </w:rPr>
          <w:t xml:space="preserve">https://laws.boe.gov.sa/BoeLaws/Laws/LawDetails/67dd54bc-c33a-48c8-8356-b44700a9ab55/1</w:t>
        </w:r>
      </w:hyperlink>
    </w:p>
    <w:p>
      <w:pPr>
        <w:bidi w:val="false"/>
        <w:ind w:start="360" w:hanging="360"/>
      </w:pPr>
      <w:r>
        <w:rPr>
          <w:sz w:val="18"/>
          <w:szCs w:val="18"/>
          <w:rtl w:val="false"/>
        </w:rPr>
        <w:t xml:space="preserve">[5] Bureau of Experts, Enforcement Law (Royal Decree No. M/53 of 13/8/1433H), Article 9, the rule before the 1447H law enters into force </w:t>
      </w:r>
      <w:hyperlink w:history="1" r:id="rIdxzb7-zpwej7gayc1fodex">
        <w:r>
          <w:rPr>
            <w:rStyle w:val="Hyperlink"/>
            <w:sz w:val="16"/>
            <w:szCs w:val="16"/>
          </w:rPr>
          <w:t xml:space="preserve">https://laws.boe.gov.sa/BoeLaws/Laws/LawDetails/c81ba2f1-1bf1-443b-9b1c-a9a700f27110/1</w:t>
        </w:r>
      </w:hyperlink>
    </w:p>
    <w:p>
      <w:pPr>
        <w:bidi w:val="false"/>
        <w:ind w:start="360" w:hanging="360"/>
      </w:pPr>
      <w:r>
        <w:rPr>
          <w:sz w:val="18"/>
          <w:szCs w:val="18"/>
          <w:rtl w:val="false"/>
        </w:rPr>
        <w:t xml:space="preserve">[6] Najiz, Ministry of Justice electronic-services portal </w:t>
      </w:r>
      <w:hyperlink w:history="1" r:id="rIdneyxoceniz47j_gb0rrwy">
        <w:r>
          <w:rPr>
            <w:rStyle w:val="Hyperlink"/>
            <w:sz w:val="16"/>
            <w:szCs w:val="16"/>
          </w:rPr>
          <w:t xml:space="preserve">https://najiz.sa/applications/landing</w:t>
        </w:r>
      </w:hyperlink>
    </w:p>
    <w:sectPr>
      <w:headerReference w:type="default" r:id="rId7"/>
      <w:headerReference w:type="first" r:id="rId8"/>
      <w:footerReference w:type="default" r:id="rId9"/>
      <w:footerReference w:type="first" r:id="rId10"/>
      <w:pgSz w:w="11906" w:h="16838" w:orient="portrait"/>
      <w:pgMar w:top="1300" w:right="1200" w:bottom="1100" w:left="1200" w:header="500" w:footer="500" w:gutter="0"/>
      <w:pgNumType/>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Q" w:author="Qanu" w:date="2026-10-22T00:00:00.000Z">
    <w:p>
      <w:pPr>
        <w:bidi w:val="false"/>
      </w:pPr>
      <w:r>
        <w:rPr>
          <w:b/>
          <w:bCs/>
          <w:rtl w:val="false"/>
        </w:rPr>
        <w:t xml:space="preserve">Drafting note</w:t>
      </w:r>
    </w:p>
    <w:p>
      <w:pPr>
        <w:bidi w:val="false"/>
      </w:pPr>
      <w:r>
        <w:rPr>
          <w:rtl w:val="false"/>
        </w:rPr>
        <w:t xml:space="preserve">Write the clause in that language. An English heading on this checklist does not satisfy Article 87 (a).</w:t>
      </w:r>
    </w:p>
  </w:comment>
  <w:comment w:id="1" w:initials="Q" w:author="Qanu" w:date="2026-10-22T00:00:00.000Z">
    <w:p>
      <w:pPr>
        <w:bidi w:val="false"/>
      </w:pPr>
      <w:r>
        <w:rPr>
          <w:b/>
          <w:bCs/>
          <w:rtl w:val="false"/>
        </w:rPr>
        <w:t xml:space="preserve">Drafting note</w:t>
      </w:r>
    </w:p>
    <w:p>
      <w:pPr>
        <w:bidi w:val="false"/>
      </w:pPr>
      <w:r>
        <w:rPr>
          <w:rtl w:val="false"/>
        </w:rPr>
        <w:t xml:space="preserve">Delete any “if”, “provided that”, or “subject to” in the promise. A conditional promise is not the promise Article 87 (b) describes.</w:t>
      </w:r>
    </w:p>
  </w:comment>
  <w:comment w:id="2" w:initials="Q" w:author="Qanu" w:date="2026-10-22T00:00:00.000Z">
    <w:p>
      <w:pPr>
        <w:bidi w:val="false"/>
      </w:pPr>
      <w:r>
        <w:rPr>
          <w:b/>
          <w:bCs/>
          <w:rtl w:val="false"/>
        </w:rPr>
        <w:t xml:space="preserve">Drafting note</w:t>
      </w:r>
    </w:p>
    <w:p>
      <w:pPr>
        <w:bidi w:val="false"/>
      </w:pPr>
      <w:r>
        <w:rPr>
          <w:rtl w:val="false"/>
        </w:rPr>
        <w:t xml:space="preserve">Article 88 (a): if the note does not state maturity, it is treated as payable on sight.</w:t>
      </w:r>
      <w:r>
        <w:rPr>
          <w:rtl w:val="false"/>
        </w:rPr>
        <w:t xml:space="preserve"> [3]</w:t>
      </w:r>
      <w:r>
        <w:rPr>
          <w:rtl w:val="false"/>
        </w:rPr>
        <w:t xml:space="preserve"> Leave this blank only if that is the result you want.</w:t>
      </w:r>
    </w:p>
  </w:comment>
  <w:comment w:id="3" w:initials="Q" w:author="Qanu" w:date="2026-10-22T00:00:00.000Z">
    <w:p>
      <w:pPr>
        <w:bidi w:val="false"/>
      </w:pPr>
      <w:r>
        <w:rPr>
          <w:b/>
          <w:bCs/>
          <w:rtl w:val="false"/>
        </w:rPr>
        <w:t xml:space="preserve">Drafting note</w:t>
      </w:r>
    </w:p>
    <w:p>
      <w:pPr>
        <w:bidi w:val="false"/>
      </w:pPr>
      <w:r>
        <w:rPr>
          <w:rtl w:val="false"/>
        </w:rPr>
        <w:t xml:space="preserve">Article 88 (b): if the place of payment or the maker’s domicile is missing, the place of issue is treated as the place of payment and as the maker’s place.</w:t>
      </w:r>
      <w:r>
        <w:rPr>
          <w:rtl w:val="false"/>
        </w:rPr>
        <w:t xml:space="preserve"> [3]</w:t>
      </w:r>
    </w:p>
  </w:comment>
  <w:comment w:id="4" w:initials="Q" w:author="Qanu" w:date="2026-10-22T00:00:00.000Z">
    <w:p>
      <w:pPr>
        <w:bidi w:val="false"/>
      </w:pPr>
      <w:r>
        <w:rPr>
          <w:b/>
          <w:bCs/>
          <w:rtl w:val="false"/>
        </w:rPr>
        <w:t xml:space="preserve">Drafting note</w:t>
      </w:r>
    </w:p>
    <w:p>
      <w:pPr>
        <w:bidi w:val="false"/>
      </w:pPr>
      <w:r>
        <w:rPr>
          <w:rtl w:val="false"/>
        </w:rPr>
        <w:t xml:space="preserve">On Nafith the creditor is the party who may ask for the note, and the debtor is the party who must pay it on its terms.</w:t>
      </w:r>
      <w:r>
        <w:rPr>
          <w:rtl w:val="false"/>
        </w:rPr>
        <w:t xml:space="preserve"> [2]</w:t>
      </w:r>
    </w:p>
  </w:comment>
  <w:comment w:id="5" w:initials="Q" w:author="Qanu" w:date="2026-10-22T00:00:00.000Z">
    <w:p>
      <w:pPr>
        <w:bidi w:val="false"/>
      </w:pPr>
      <w:r>
        <w:rPr>
          <w:b/>
          <w:bCs/>
          <w:rtl w:val="false"/>
        </w:rPr>
        <w:t xml:space="preserve">Drafting note</w:t>
      </w:r>
    </w:p>
    <w:p>
      <w:pPr>
        <w:bidi w:val="false"/>
      </w:pPr>
      <w:r>
        <w:rPr>
          <w:rtl w:val="false"/>
        </w:rPr>
        <w:t xml:space="preserve">Article 88 (c): if the place of issue is missing, the note is treated as made in the place shown beside the maker’s name.</w:t>
      </w:r>
      <w:r>
        <w:rPr>
          <w:rtl w:val="false"/>
        </w:rPr>
        <w:t xml:space="preserve"> [3]</w:t>
      </w:r>
    </w:p>
  </w:comment>
  <w:comment w:id="6" w:initials="Q" w:author="Qanu" w:date="2026-10-22T00:00:00.000Z">
    <w:p>
      <w:pPr>
        <w:bidi w:val="false"/>
      </w:pPr>
      <w:r>
        <w:rPr>
          <w:b/>
          <w:bCs/>
          <w:rtl w:val="false"/>
        </w:rPr>
        <w:t xml:space="preserve">Drafting note</w:t>
      </w:r>
    </w:p>
    <w:p>
      <w:pPr>
        <w:bidi w:val="false"/>
      </w:pPr>
      <w:r>
        <w:rPr>
          <w:rtl w:val="false"/>
        </w:rPr>
        <w:t xml:space="preserve">The FAQ also describes multiple notes under one request, each with its own maturity, each capable of a separate enforcement request. This page does not add conditions to that description.</w:t>
      </w:r>
      <w:r>
        <w:rPr>
          <w:rtl w:val="false"/>
        </w:rPr>
        <w:t xml:space="preserve"> [2]</w:t>
      </w:r>
      <w:r>
        <w:rPr>
          <w:rtl w:val="false"/>
        </w:rPr>
        <w:t xml:space="preserve"> A sum the parties are releasing belongs in the </w:t>
      </w:r>
      <w:hyperlink w:history="1" r:id="rId_sgx3ovsuiwnzby6nledd">
        <w:r>
          <w:rPr>
            <w:rStyle w:val="Hyperlink"/>
            <w:rtl w:val="false"/>
          </w:rPr>
          <w:t xml:space="preserve">settlement agreement template</w:t>
        </w:r>
      </w:hyperlink>
      <w:r>
        <w:rPr>
          <w:rtl w:val="false"/>
        </w:rPr>
        <w:t xml:space="preserve">, not in this checklist. A claim belongs in the </w:t>
      </w:r>
      <w:hyperlink w:history="1" r:id="rIdgtkf-0mq9hgqafglzlcgl">
        <w:r>
          <w:rPr>
            <w:rStyle w:val="Hyperlink"/>
            <w:rtl w:val="false"/>
          </w:rPr>
          <w:t xml:space="preserve">statement of claim template</w:t>
        </w:r>
      </w:hyperlink>
      <w:r>
        <w:rPr>
          <w:rtl w:val="false"/>
        </w:rPr>
        <w:t xml:space="preserve">.</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pPr>
    <w:r>
      <w:rPr>
        <w:color w:val="555555"/>
        <w:sz w:val="16"/>
        <w:szCs w:val="16"/>
        <w:rtl w:val="false"/>
      </w:rPr>
      <w:t xml:space="preserve">CC BY 4.0 · Page </w:t>
    </w:r>
    <w:r>
      <w:rPr>
        <w:color w:val="555555"/>
        <w:sz w:val="16"/>
        <w:szCs w:val="16"/>
        <w:rtl w:val="false"/>
      </w:rPr>
      <w:fldChar w:fldCharType="begin"/>
    </w:r>
    <w:r>
      <w:rPr>
        <w:color w:val="555555"/>
        <w:sz w:val="16"/>
        <w:szCs w:val="16"/>
        <w:rtl w:val="false"/>
      </w:rPr>
      <w:instrText xml:space="preserve">PAGE</w:instrText>
    </w:r>
    <w:r>
      <w:rPr>
        <w:color w:val="555555"/>
        <w:sz w:val="16"/>
        <w:szCs w:val="16"/>
        <w:rtl w:val="false"/>
      </w:rPr>
      <w:fldChar w:fldCharType="separate"/>
    </w:r>
    <w:r>
      <w:rPr>
        <w:color w:val="555555"/>
        <w:sz w:val="16"/>
        <w:szCs w:val="16"/>
        <w:rtl w:val="false"/>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pPr>
    <w:r>
      <w:rPr>
        <w:color w:val="555555"/>
        <w:sz w:val="16"/>
        <w:szCs w:val="16"/>
        <w:rtl w:val="false"/>
      </w:rPr>
      <w:t xml:space="preserve">CC BY 4.0 · Page </w:t>
    </w:r>
    <w:r>
      <w:rPr>
        <w:color w:val="555555"/>
        <w:sz w:val="16"/>
        <w:szCs w:val="16"/>
        <w:rtl w:val="false"/>
      </w:rPr>
      <w:fldChar w:fldCharType="begin"/>
    </w:r>
    <w:r>
      <w:rPr>
        <w:color w:val="555555"/>
        <w:sz w:val="16"/>
        <w:szCs w:val="16"/>
        <w:rtl w:val="false"/>
      </w:rPr>
      <w:instrText xml:space="preserve">PAGE</w:instrText>
    </w:r>
    <w:r>
      <w:rPr>
        <w:color w:val="555555"/>
        <w:sz w:val="16"/>
        <w:szCs w:val="16"/>
        <w:rtl w:val="false"/>
      </w:rPr>
      <w:fldChar w:fldCharType="separate"/>
    </w:r>
    <w:r>
      <w:rPr>
        <w:color w:val="555555"/>
        <w:sz w:val="16"/>
        <w:szCs w:val="16"/>
        <w:rtl w:val="false"/>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pPr>
    <w:r>
      <w:rPr>
        <w:color w:val="555555"/>
        <w:sz w:val="16"/>
        <w:szCs w:val="16"/>
        <w:rtl w:val="false"/>
      </w:rPr>
      <w:t xml:space="preserve">Template – not legal advice – Qanu – last reviewed 22 October 2026 – https://www.qanu.ai/en/templates/promissory-note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4" w:space="4"/>
      </w:pBdr>
      <w:bidi w:val="false"/>
    </w:pPr>
    <w:r>
      <w:rPr>
        <w:color w:val="555555"/>
        <w:sz w:val="16"/>
        <w:szCs w:val="16"/>
        <w:rtl w:val="false"/>
      </w:rPr>
      <w:t xml:space="preserve">Template – not legal advice – Qanu – last reviewed 22 October 2026 – https://www.qanu.ai/en/templates/promissory-note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start="360" w:hanging="260"/>
      </w:pPr>
    </w:lvl>
    <w:lvl w:ilvl="1" w:tentative="1">
      <w:start w:val="1"/>
      <w:numFmt w:val="bullet"/>
      <w:lvlText w:val="◦"/>
      <w:lvlJc w:val="left"/>
      <w:pPr>
        <w:ind w:start="900" w:hanging="260"/>
      </w:pPr>
    </w:lvl>
  </w:abstractNum>
  <w:num w:numId="1">
    <w:abstractNumId w:val="1"/>
    <w:lvlOverride w:ilvl="0">
      <w:startOverride w:val="1"/>
    </w:lvlOverride>
  </w:num>
  <w:num w:numId="2">
    <w:abstractNumId w:val="2"/>
    <w:lvlOverride w:ilvl="0">
      <w:startOverride w:val="1"/>
    </w:lvlOverride>
    <w:lvlOverride w:ilvl="1">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IBM Plex Sans Arabic" w:eastAsia="Calibri" w:hAnsi="Calibri"/>
        <w:sz w:val="21"/>
        <w:szCs w:val="21"/>
        <w:lang w:val="en-GB" w:bidi="ar-SA"/>
      </w:rPr>
    </w:rPrDefault>
    <w:pPrDefault>
      <w:pPr>
        <w:spacing w:after="120"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120" w:line="240" w:lineRule="auto"/>
    </w:pPr>
    <w:rPr>
      <w:rFonts w:ascii="Calibri" w:cs="IBM Plex Sans Arabic" w:eastAsia="Calibri" w:hAnsi="Calibri"/>
      <w:b/>
      <w:bCs/>
      <w:color w:val="111111"/>
      <w:sz w:val="36"/>
      <w:szCs w:val="36"/>
    </w:rPr>
  </w:style>
  <w:style w:type="paragraph" w:styleId="Heading1">
    <w:name w:val="Heading 1"/>
    <w:basedOn w:val="Normal"/>
    <w:next w:val="Normal"/>
    <w:qFormat/>
    <w:pPr>
      <w:keepNext/>
      <w:spacing w:after="120" w:before="320"/>
    </w:pPr>
    <w:rPr>
      <w:rFonts w:ascii="Calibri" w:cs="IBM Plex Sans Arabic" w:eastAsia="Calibri" w:hAnsi="Calibri"/>
      <w:b/>
      <w:bCs/>
      <w:color w:val="111111"/>
      <w:sz w:val="26"/>
      <w:szCs w:val="26"/>
    </w:rPr>
  </w:style>
  <w:style w:type="paragraph" w:styleId="Heading2">
    <w:name w:val="Heading 2"/>
    <w:basedOn w:val="Normal"/>
    <w:next w:val="Normal"/>
    <w:qFormat/>
    <w:pPr>
      <w:keepNext/>
      <w:spacing w:after="120" w:before="240"/>
    </w:pPr>
    <w:rPr>
      <w:rFonts w:ascii="Calibri" w:cs="IBM Plex Sans Arabic" w:eastAsia="Calibri" w:hAnsi="Calibri"/>
      <w:b/>
      <w:bCs/>
      <w:color w:val="111111"/>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F4E9E"/>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Relationship Id="rId_sgx3ovsuiwnzby6nledd" Type="http://schemas.openxmlformats.org/officeDocument/2006/relationships/hyperlink" Target="https://www.qanu.ai/en/templates/settlement-agreement" TargetMode="External"/><Relationship Id="rIdgtkf-0mq9hgqafglzlcgl" Type="http://schemas.openxmlformats.org/officeDocument/2006/relationships/hyperlink" Target="https://www.qanu.ai/en/templates/statement-of-claim"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theme" Target="theme/theme1.xml"/><Relationship Id="rIdqa_3ex8d7jvb8to78ydje" Type="http://schemas.openxmlformats.org/officeDocument/2006/relationships/hyperlink" Target="https://nafith.sa/execution_documents/" TargetMode="External"/><Relationship Id="rIdks90hibs17wclrsdwu2rv" Type="http://schemas.openxmlformats.org/officeDocument/2006/relationships/hyperlink" Target="https://nafith.sa/faq/" TargetMode="External"/><Relationship Id="rIdmmvojoxnah21fjv3ip7qi" Type="http://schemas.openxmlformats.org/officeDocument/2006/relationships/hyperlink" Target="https://laws.boe.gov.sa/BoeLaws/Laws/LawDetails/4763eb94-047b-46f1-9697-a9a700f1b7ed/1" TargetMode="External"/><Relationship Id="rIdwptxvpgxvhdmtr-fprphg" Type="http://schemas.openxmlformats.org/officeDocument/2006/relationships/hyperlink" Target="https://laws.boe.gov.sa/BoeLaws/Laws/LawDetails/67dd54bc-c33a-48c8-8356-b44700a9ab55/1" TargetMode="External"/><Relationship Id="rIddvn4ndvs_q4k1h5zoxowl" Type="http://schemas.openxmlformats.org/officeDocument/2006/relationships/hyperlink" Target="https://laws.boe.gov.sa/BoeLaws/Laws/LawDetails/c81ba2f1-1bf1-443b-9b1c-a9a700f27110/1" TargetMode="External"/><Relationship Id="rIdstbump3w2uewk4r--kxuq" Type="http://schemas.openxmlformats.org/officeDocument/2006/relationships/hyperlink" Target="https://creativecommons.org/licenses/by/4.0/deed.en" TargetMode="External"/><Relationship Id="rIdgxtf8iozuwlcqndd7pi-l" Type="http://schemas.openxmlformats.org/officeDocument/2006/relationships/hyperlink" Target="https://nafith.sa/execution_documents/" TargetMode="External"/><Relationship Id="rIdc7bkclmg8bozxz8jvnban" Type="http://schemas.openxmlformats.org/officeDocument/2006/relationships/hyperlink" Target="https://nafith.sa/faq/" TargetMode="External"/><Relationship Id="rIdkohvhucuyanzzjgtyx3yk" Type="http://schemas.openxmlformats.org/officeDocument/2006/relationships/hyperlink" Target="https://laws.boe.gov.sa/BoeLaws/Laws/LawDetails/4763eb94-047b-46f1-9697-a9a700f1b7ed/1" TargetMode="External"/><Relationship Id="rId3e_-h30sey1z4vceqnq_-" Type="http://schemas.openxmlformats.org/officeDocument/2006/relationships/hyperlink" Target="https://laws.boe.gov.sa/BoeLaws/Laws/LawDetails/67dd54bc-c33a-48c8-8356-b44700a9ab55/1" TargetMode="External"/><Relationship Id="rIdxzb7-zpwej7gayc1fodex" Type="http://schemas.openxmlformats.org/officeDocument/2006/relationships/hyperlink" Target="https://laws.boe.gov.sa/BoeLaws/Laws/LawDetails/c81ba2f1-1bf1-443b-9b1c-a9a700f27110/1" TargetMode="External"/><Relationship Id="rIdneyxoceniz47j_gb0rrwy" Type="http://schemas.openxmlformats.org/officeDocument/2006/relationships/hyperlink" Target="https://najiz.sa/applications/landing"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Promissory note (سند لأمر): the Nafith route and the statutory contents</dc:title>
  <dc:creator>Qanu</dc:creator>
  <cp:keywords>Promissory note, سند لأمر, Nafith, Commercial Papers Law</cp:keywords>
  <dc:description>This is a template, not legal advice. It does not create a lawyer–client relationship. Court rules, regulator guidance and laws change; check the official sources linked and have the contract reviewed by qualified counsel in each relevant jurisdiction. Last reviewed: 22 October 2026. Have it reviewed by a lawyer licensed in your jurisdiction before use. Where an official form or platform is mandatory, it prevails.</dc:description>
  <cp:lastModifiedBy>Qanu</cp:lastModifiedBy>
  <cp:revision>1</cp:revision>
  <dcterms:created xsi:type="dcterms:W3CDTF">2026-10-22T18:31:54.012Z</dcterms:created>
  <dcterms:modified xsi:type="dcterms:W3CDTF">2026-10-22T18:31:54.012Z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cense">
    <vt:lpwstr>https://creativecommons.org/licenses/by/4.0/</vt:lpwstr>
  </property>
  <property fmtid="{D5CDD505-2E9C-101B-9397-08002B2CF9AE}" pid="3" name="Source">
    <vt:lpwstr>https://www.qanu.ai/en/templates/promissory-note</vt:lpwstr>
  </property>
</Properties>
</file>