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سجِّل العقد في المنصة الرسمية.</w:t>
      </w:r>
      <w:r>
        <w:rPr>
          <w:rtl/>
        </w:rPr>
        <w:t xml:space="preserve"> في المملكة العربية السعودية يجب تسجيل عقود الإيجار في منصة </w:t>
      </w:r>
      <w:r>
        <w:rPr>
          <w:b/>
          <w:bCs/>
          <w:rtl/>
        </w:rPr>
        <w:t xml:space="preserve">إيجار</w:t>
      </w:r>
      <w:r>
        <w:rPr>
          <w:rtl/>
        </w:rPr>
        <w:t xml:space="preserve">، ولا يُعدّ العقد غير المسجَّل فيها منتجاً لآثاره الإدارية والقضائية، ويُعدّ العقد الإلكتروني في إيجار سنداً تنفيذياً. وفي دبي يُستخدم </w:t>
      </w:r>
      <w:r>
        <w:rPr>
          <w:b/>
          <w:bCs/>
          <w:rtl/>
        </w:rPr>
        <w:t xml:space="preserve">عقد الإيجار الموحد</w:t>
      </w:r>
      <w:r>
        <w:rPr>
          <w:rtl/>
        </w:rPr>
        <w:t xml:space="preserve"> الصادر عن دائرة الأراضي والأملاك ويُسجَّل في نظام </w:t>
      </w:r>
      <w:r>
        <w:rPr>
          <w:b/>
          <w:bCs/>
          <w:rtl/>
        </w:rPr>
        <w:t xml:space="preserve">إيجاري</w:t>
      </w:r>
      <w:r>
        <w:rPr>
          <w:rtl/>
        </w:rPr>
        <w:t xml:space="preserve">. وفي أبوظبي يُسجَّل العقد في نظام </w:t>
      </w:r>
      <w:r>
        <w:rPr>
          <w:b/>
          <w:bCs/>
          <w:rtl/>
        </w:rPr>
        <w:t xml:space="preserve">توثيق</w:t>
      </w:r>
      <w:r>
        <w:rPr>
          <w:rtl/>
        </w:rPr>
        <w:t xml:space="preserve">. استخدم هذا النموذج للاتفاق على الشروط والتحضير للتسجيل الرسمي، ولا يغني عنه.</w:t>
      </w:r>
      <w:r>
        <w:rPr>
          <w:rtl/>
        </w:rPr>
        <w:t xml:space="preserve"> [1][2][3][4][5][6][7]</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منصة إيجار: </w:t>
      </w:r>
      <w:hyperlink w:history="1" r:id="rId6kcikubl5wqgcwt7ogwql">
        <w:r>
          <w:rPr>
            <w:rStyle w:val="Hyperlink"/>
            <w:sz w:val="17"/>
            <w:szCs w:val="17"/>
          </w:rPr>
          <w:t xml:space="preserve">‪https://www.ejar.sa/ar/faqregulation‬</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إيجاري – دائرة الأراضي والأملاك: </w:t>
      </w:r>
      <w:hyperlink w:history="1" r:id="rIdbqu2kymxqf5b8wsvzqzrp">
        <w:r>
          <w:rPr>
            <w:rStyle w:val="Hyperlink"/>
            <w:sz w:val="17"/>
            <w:szCs w:val="17"/>
          </w:rPr>
          <w:t xml:space="preserve">‪https://dubailand.gov.ae/en/eservices/register-renew-ejari-contract/‬</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عقد الإيجار الموحد: </w:t>
      </w:r>
      <w:hyperlink w:history="1" r:id="rIdtd-jo86rmeop4eu0z4rhr">
        <w:r>
          <w:rPr>
            <w:rStyle w:val="Hyperlink"/>
            <w:sz w:val="17"/>
            <w:szCs w:val="17"/>
          </w:rPr>
          <w:t xml:space="preserve">‪https://dubailand.gov.ae/en/eservices/ejari-templates/download-unified-ejari-tenancy-contract‬</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توثيق – تم: </w:t>
      </w:r>
      <w:hyperlink w:history="1" r:id="rIdjfvg4vpcn2czl9rr8_pzs">
        <w:r>
          <w:rPr>
            <w:rStyle w:val="Hyperlink"/>
            <w:sz w:val="17"/>
            <w:szCs w:val="17"/>
          </w:rPr>
          <w:t xml:space="preserve">‪https://www.tamm.abudhabi/en/articles/lease-registration-guidelines‬</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قطر:</w:t>
      </w:r>
      <w:r>
        <w:rPr>
          <w:sz w:val="19"/>
          <w:szCs w:val="19"/>
          <w:rtl/>
        </w:rPr>
        <w:t xml:space="preserve"> تُسجَّل عقود الإيجار لدى مكتب التسجيل المنشأ بموجب قانون الإيجار.</w:t>
      </w:r>
      <w:r>
        <w:rPr>
          <w:sz w:val="19"/>
          <w:szCs w:val="19"/>
          <w:rtl/>
        </w:rPr>
        <w:t xml:space="preserve"> [8]</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البحرين:</w:t>
      </w:r>
      <w:r>
        <w:rPr>
          <w:sz w:val="19"/>
          <w:szCs w:val="19"/>
          <w:rtl/>
        </w:rPr>
        <w:t xml:space="preserve"> تتوفر خدمة إلكترونية لتسجيل عقود الإيجار.</w:t>
      </w:r>
      <w:r>
        <w:rPr>
          <w:sz w:val="19"/>
          <w:szCs w:val="19"/>
          <w:rtl/>
        </w:rPr>
        <w:t xml:space="preserve"> [9]</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عُمان:</w:t>
      </w:r>
      <w:r>
        <w:rPr>
          <w:sz w:val="19"/>
          <w:szCs w:val="19"/>
          <w:rtl/>
        </w:rPr>
        <w:t xml:space="preserve"> تتيح بلدية مسقط خدمات إلكترونية لتسجيل عقود الإيجار.</w:t>
      </w:r>
      <w:r>
        <w:rPr>
          <w:sz w:val="19"/>
          <w:szCs w:val="19"/>
          <w:rtl/>
        </w:rPr>
        <w:t xml:space="preserve"> [10]</w:t>
      </w:r>
    </w:p>
    <w:p>
      <w:pPr>
        <w:bidi/>
        <w:spacing w:after="240"/>
      </w:pPr>
    </w:p>
    <w:p>
      <w:pPr>
        <w:pStyle w:val="Title"/>
        <w:bidi/>
      </w:pPr>
      <w:r>
        <w:rPr>
          <w:rtl/>
        </w:rPr>
        <w:t xml:space="preserve">عقد إيجار سكني</w:t>
      </w:r>
    </w:p>
    <w:p>
      <w:pPr>
        <w:bidi/>
        <w:spacing w:after="240"/>
      </w:pPr>
      <w:r>
        <w:rPr>
          <w:color w:val="444444"/>
          <w:rtl/>
        </w:rPr>
        <w:t xml:space="preserve">ورقة شروط وشروط إضافية لعقد إيجار سكني في دول الخليج، تساعد الطرفين على الاتفاق على الشروط وتدوينها قبل إنشاء العقد الرسمي، وعلى إثبات ما يجوز نظاماً من شروط إضافية. استبدل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 واحذف الخيارات التي لا تنطبق.</w:t>
      </w:r>
    </w:p>
    <w:p>
      <w:pPr>
        <w:pStyle w:val="Heading1"/>
        <w:bidi/>
      </w:pPr>
      <w:commentRangeStart w:id="0"/>
      <w:r>
        <w:rPr>
          <w:rtl/>
        </w:rPr>
        <w:t xml:space="preserve">البند (1): الطرفان</w:t>
      </w:r>
      <w:commentRangeEnd w:id="0"/>
      <w:r>
        <w:rPr>
          <w:rtl/>
        </w:rPr>
        <w:commentReference w:id="0"/>
      </w:r>
    </w:p>
    <w:p>
      <w:pPr>
        <w:bidi/>
      </w:pPr>
      <w:r>
        <w:rPr>
          <w:rtl/>
        </w:rPr>
        <w:t xml:space="preserve">المؤجر: </w:t>
      </w:r>
      <w:r>
        <w:rPr>
          <w:highlight w:val="yellow"/>
          <w:rtl/>
        </w:rPr>
        <w:t xml:space="preserve">[</w:t>
      </w:r>
      <w:r>
        <w:rPr>
          <w:highlight w:val="yellow"/>
          <w:rtl/>
        </w:rPr>
        <w:t xml:space="preserve">الاسم</w:t>
      </w:r>
      <w:r>
        <w:rPr>
          <w:highlight w:val="yellow"/>
          <w:rtl/>
        </w:rPr>
        <w:t xml:space="preserve">]</w:t>
      </w:r>
      <w:r>
        <w:rPr>
          <w:rtl/>
        </w:rPr>
        <w:t xml:space="preserve">، رقم الهوية/السجل التجاري </w:t>
      </w:r>
      <w:r>
        <w:rPr>
          <w:highlight w:val="yellow"/>
          <w:rtl/>
        </w:rPr>
        <w:t xml:space="preserve">[</w:t>
      </w:r>
      <w:r>
        <w:rPr>
          <w:highlight w:val="yellow"/>
          <w:rtl/>
        </w:rPr>
        <w:t xml:space="preserve">●</w:t>
      </w:r>
      <w:r>
        <w:rPr>
          <w:highlight w:val="yellow"/>
          <w:rtl/>
        </w:rPr>
        <w:t xml:space="preserve">]</w:t>
      </w:r>
      <w:r>
        <w:rPr>
          <w:rtl/>
        </w:rPr>
        <w:t xml:space="preserve">، العنوان </w:t>
      </w:r>
      <w:r>
        <w:rPr>
          <w:highlight w:val="yellow"/>
          <w:rtl/>
        </w:rPr>
        <w:t xml:space="preserve">[</w:t>
      </w:r>
      <w:r>
        <w:rPr>
          <w:highlight w:val="yellow"/>
          <w:rtl/>
        </w:rPr>
        <w:t xml:space="preserve">●</w:t>
      </w:r>
      <w:r>
        <w:rPr>
          <w:highlight w:val="yellow"/>
          <w:rtl/>
        </w:rPr>
        <w:t xml:space="preserve">]</w:t>
      </w:r>
      <w:r>
        <w:rPr>
          <w:rtl/>
        </w:rPr>
        <w:t xml:space="preserve">، ويمثّله </w:t>
      </w:r>
      <w:r>
        <w:rPr>
          <w:highlight w:val="yellow"/>
          <w:rtl/>
        </w:rPr>
        <w:t xml:space="preserve">[</w:t>
      </w:r>
      <w:r>
        <w:rPr>
          <w:highlight w:val="yellow"/>
          <w:rtl/>
        </w:rPr>
        <w:t xml:space="preserve">●</w:t>
      </w:r>
      <w:r>
        <w:rPr>
          <w:highlight w:val="yellow"/>
          <w:rtl/>
        </w:rPr>
        <w:t xml:space="preserve">]</w:t>
      </w:r>
      <w:r>
        <w:rPr>
          <w:rtl/>
        </w:rPr>
        <w:t xml:space="preserve"> (وإن كان وكيلاً أو وسيطاً عقارياً تُرفق الوكالة أو التفويض). المستأجر: </w:t>
      </w:r>
      <w:r>
        <w:rPr>
          <w:highlight w:val="yellow"/>
          <w:rtl/>
        </w:rPr>
        <w:t xml:space="preserve">[</w:t>
      </w:r>
      <w:r>
        <w:rPr>
          <w:highlight w:val="yellow"/>
          <w:rtl/>
        </w:rPr>
        <w:t xml:space="preserve">الاسم</w:t>
      </w:r>
      <w:r>
        <w:rPr>
          <w:highlight w:val="yellow"/>
          <w:rtl/>
        </w:rPr>
        <w:t xml:space="preserve">]</w:t>
      </w:r>
      <w:r>
        <w:rPr>
          <w:rtl/>
        </w:rPr>
        <w:t xml:space="preserve">، رقم الهوية </w:t>
      </w:r>
      <w:r>
        <w:rPr>
          <w:highlight w:val="yellow"/>
          <w:rtl/>
        </w:rPr>
        <w:t xml:space="preserve">[</w:t>
      </w:r>
      <w:r>
        <w:rPr>
          <w:highlight w:val="yellow"/>
          <w:rtl/>
        </w:rPr>
        <w:t xml:space="preserve">●</w:t>
      </w:r>
      <w:r>
        <w:rPr>
          <w:highlight w:val="yellow"/>
          <w:rtl/>
        </w:rPr>
        <w:t xml:space="preserve">]</w:t>
      </w:r>
      <w:r>
        <w:rPr>
          <w:rtl/>
        </w:rPr>
        <w:t xml:space="preserve">، العنوان </w:t>
      </w:r>
      <w:r>
        <w:rPr>
          <w:highlight w:val="yellow"/>
          <w:rtl/>
        </w:rPr>
        <w:t xml:space="preserve">[</w:t>
      </w:r>
      <w:r>
        <w:rPr>
          <w:highlight w:val="yellow"/>
          <w:rtl/>
        </w:rPr>
        <w:t xml:space="preserve">●</w:t>
      </w:r>
      <w:r>
        <w:rPr>
          <w:highlight w:val="yellow"/>
          <w:rtl/>
        </w:rPr>
        <w:t xml:space="preserve">]</w:t>
      </w:r>
      <w:r>
        <w:rPr>
          <w:rtl/>
        </w:rPr>
        <w:t xml:space="preserve">.</w:t>
      </w:r>
    </w:p>
    <w:p>
      <w:pPr>
        <w:pStyle w:val="Heading1"/>
        <w:bidi/>
      </w:pPr>
      <w:commentRangeStart w:id="1"/>
      <w:r>
        <w:rPr>
          <w:rtl/>
        </w:rPr>
        <w:t xml:space="preserve">البند (2): العين المؤجرة</w:t>
      </w:r>
      <w:commentRangeEnd w:id="1"/>
      <w:r>
        <w:rPr>
          <w:rtl/>
        </w:rPr>
        <w:commentReference w:id="1"/>
      </w:r>
    </w:p>
    <w:p>
      <w:pPr>
        <w:bidi/>
      </w:pPr>
      <w:r>
        <w:rPr>
          <w:highlight w:val="yellow"/>
          <w:rtl/>
        </w:rPr>
        <w:t xml:space="preserve">[</w:t>
      </w:r>
      <w:r>
        <w:rPr>
          <w:highlight w:val="yellow"/>
          <w:rtl/>
        </w:rPr>
        <w:t xml:space="preserve">النوع: شقة/فيلا</w:t>
      </w:r>
      <w:r>
        <w:rPr>
          <w:highlight w:val="yellow"/>
          <w:rtl/>
        </w:rPr>
        <w:t xml:space="preserve">]</w:t>
      </w:r>
      <w:r>
        <w:rPr>
          <w:rtl/>
        </w:rPr>
        <w:t xml:space="preserve">، رقم الوحدة </w:t>
      </w:r>
      <w:r>
        <w:rPr>
          <w:highlight w:val="yellow"/>
          <w:rtl/>
        </w:rPr>
        <w:t xml:space="preserve">[</w:t>
      </w:r>
      <w:r>
        <w:rPr>
          <w:highlight w:val="yellow"/>
          <w:rtl/>
        </w:rPr>
        <w:t xml:space="preserve">●</w:t>
      </w:r>
      <w:r>
        <w:rPr>
          <w:highlight w:val="yellow"/>
          <w:rtl/>
        </w:rPr>
        <w:t xml:space="preserve">]</w:t>
      </w:r>
      <w:r>
        <w:rPr>
          <w:rtl/>
        </w:rPr>
        <w:t xml:space="preserve">، المبنى </w:t>
      </w:r>
      <w:r>
        <w:rPr>
          <w:highlight w:val="yellow"/>
          <w:rtl/>
        </w:rPr>
        <w:t xml:space="preserve">[</w:t>
      </w:r>
      <w:r>
        <w:rPr>
          <w:highlight w:val="yellow"/>
          <w:rtl/>
        </w:rPr>
        <w:t xml:space="preserve">●</w:t>
      </w:r>
      <w:r>
        <w:rPr>
          <w:highlight w:val="yellow"/>
          <w:rtl/>
        </w:rPr>
        <w:t xml:space="preserve">]</w:t>
      </w:r>
      <w:r>
        <w:rPr>
          <w:rtl/>
        </w:rPr>
        <w:t xml:space="preserve">، العنوان/العنوان الوطني </w:t>
      </w:r>
      <w:r>
        <w:rPr>
          <w:highlight w:val="yellow"/>
          <w:rtl/>
        </w:rPr>
        <w:t xml:space="preserve">[</w:t>
      </w:r>
      <w:r>
        <w:rPr>
          <w:highlight w:val="yellow"/>
          <w:rtl/>
        </w:rPr>
        <w:t xml:space="preserve">●</w:t>
      </w:r>
      <w:r>
        <w:rPr>
          <w:highlight w:val="yellow"/>
          <w:rtl/>
        </w:rPr>
        <w:t xml:space="preserve">]</w:t>
      </w:r>
      <w:r>
        <w:rPr>
          <w:rtl/>
        </w:rPr>
        <w:t xml:space="preserve">، رقم صك الملكية </w:t>
      </w:r>
      <w:r>
        <w:rPr>
          <w:highlight w:val="yellow"/>
          <w:rtl/>
        </w:rPr>
        <w:t xml:space="preserve">[</w:t>
      </w:r>
      <w:r>
        <w:rPr>
          <w:highlight w:val="yellow"/>
          <w:rtl/>
        </w:rPr>
        <w:t xml:space="preserve">●</w:t>
      </w:r>
      <w:r>
        <w:rPr>
          <w:highlight w:val="yellow"/>
          <w:rtl/>
        </w:rPr>
        <w:t xml:space="preserve">]</w:t>
      </w:r>
      <w:r>
        <w:rPr>
          <w:rtl/>
        </w:rPr>
        <w:t xml:space="preserve">، المساحة </w:t>
      </w:r>
      <w:r>
        <w:rPr>
          <w:highlight w:val="yellow"/>
          <w:rtl/>
        </w:rPr>
        <w:t xml:space="preserve">[</w:t>
      </w:r>
      <w:r>
        <w:rPr>
          <w:highlight w:val="yellow"/>
          <w:rtl/>
        </w:rPr>
        <w:t xml:space="preserve">●</w:t>
      </w:r>
      <w:r>
        <w:rPr>
          <w:highlight w:val="yellow"/>
          <w:rtl/>
        </w:rPr>
        <w:t xml:space="preserve">]</w:t>
      </w:r>
      <w:r>
        <w:rPr>
          <w:rtl/>
        </w:rPr>
        <w:t xml:space="preserve"> م²، حالة التأثيث </w:t>
      </w:r>
      <w:r>
        <w:rPr>
          <w:highlight w:val="yellow"/>
          <w:rtl/>
        </w:rPr>
        <w:t xml:space="preserve">[</w:t>
      </w:r>
      <w:r>
        <w:rPr>
          <w:highlight w:val="yellow"/>
          <w:rtl/>
        </w:rPr>
        <w:t xml:space="preserve">مؤثثة/غير مؤثثة</w:t>
      </w:r>
      <w:r>
        <w:rPr>
          <w:highlight w:val="yellow"/>
          <w:rtl/>
        </w:rPr>
        <w:t xml:space="preserve">]</w:t>
      </w:r>
      <w:r>
        <w:rPr>
          <w:rtl/>
        </w:rPr>
        <w:t xml:space="preserve">، المواقف </w:t>
      </w:r>
      <w:r>
        <w:rPr>
          <w:highlight w:val="yellow"/>
          <w:rtl/>
        </w:rPr>
        <w:t xml:space="preserve">[</w:t>
      </w:r>
      <w:r>
        <w:rPr>
          <w:highlight w:val="yellow"/>
          <w:rtl/>
        </w:rPr>
        <w:t xml:space="preserve">●</w:t>
      </w:r>
      <w:r>
        <w:rPr>
          <w:highlight w:val="yellow"/>
          <w:rtl/>
        </w:rPr>
        <w:t xml:space="preserve">]</w:t>
      </w:r>
      <w:r>
        <w:rPr>
          <w:rtl/>
        </w:rPr>
        <w:t xml:space="preserve">.</w:t>
      </w:r>
    </w:p>
    <w:p>
      <w:pPr>
        <w:pStyle w:val="Heading1"/>
        <w:bidi/>
      </w:pPr>
      <w:commentRangeStart w:id="2"/>
      <w:r>
        <w:rPr>
          <w:rtl/>
        </w:rPr>
        <w:t xml:space="preserve">البند (3): الغرض من الإيجار</w:t>
      </w:r>
      <w:commentRangeEnd w:id="2"/>
      <w:r>
        <w:rPr>
          <w:rtl/>
        </w:rPr>
        <w:commentReference w:id="2"/>
      </w:r>
    </w:p>
    <w:p>
      <w:pPr>
        <w:bidi/>
      </w:pPr>
      <w:r>
        <w:rPr>
          <w:rtl/>
        </w:rPr>
        <w:t xml:space="preserve">تُؤجَّر العين للسكن فقط للمستأجر وأفراد أسرته </w:t>
      </w:r>
      <w:r>
        <w:rPr>
          <w:highlight w:val="yellow"/>
          <w:rtl/>
        </w:rPr>
        <w:t xml:space="preserve">[</w:t>
      </w:r>
      <w:r>
        <w:rPr>
          <w:highlight w:val="yellow"/>
          <w:rtl/>
        </w:rPr>
        <w:t xml:space="preserve">الأسماء/العدد</w:t>
      </w:r>
      <w:r>
        <w:rPr>
          <w:highlight w:val="yellow"/>
          <w:rtl/>
        </w:rPr>
        <w:t xml:space="preserve">]</w:t>
      </w:r>
      <w:r>
        <w:rPr>
          <w:rtl/>
        </w:rPr>
        <w:t xml:space="preserve">.</w:t>
      </w:r>
    </w:p>
    <w:p>
      <w:pPr>
        <w:pStyle w:val="Heading1"/>
        <w:bidi/>
      </w:pPr>
      <w:commentRangeStart w:id="3"/>
      <w:r>
        <w:rPr>
          <w:rtl/>
        </w:rPr>
        <w:t xml:space="preserve">البند (4): مدة الإيجار</w:t>
      </w:r>
      <w:commentRangeEnd w:id="3"/>
      <w:r>
        <w:rPr>
          <w:rtl/>
        </w:rPr>
        <w:commentReference w:id="3"/>
      </w:r>
    </w:p>
    <w:p>
      <w:pPr>
        <w:bidi/>
      </w:pPr>
      <w:r>
        <w:rPr>
          <w:highlight w:val="yellow"/>
          <w:rtl/>
        </w:rPr>
        <w:t xml:space="preserve">[</w:t>
      </w:r>
      <w:r>
        <w:rPr>
          <w:highlight w:val="yellow"/>
          <w:rtl/>
        </w:rPr>
        <w:t xml:space="preserve">●</w:t>
      </w:r>
      <w:r>
        <w:rPr>
          <w:highlight w:val="yellow"/>
          <w:rtl/>
        </w:rPr>
        <w:t xml:space="preserve">]</w:t>
      </w:r>
      <w:r>
        <w:rPr>
          <w:rtl/>
        </w:rPr>
        <w:t xml:space="preserve"> تبدأ من </w:t>
      </w:r>
      <w:r>
        <w:rPr>
          <w:highlight w:val="yellow"/>
          <w:rtl/>
        </w:rPr>
        <w:t xml:space="preserve">[</w:t>
      </w:r>
      <w:r>
        <w:rPr>
          <w:highlight w:val="yellow"/>
          <w:rtl/>
        </w:rPr>
        <w:t xml:space="preserve">التاريخ</w:t>
      </w:r>
      <w:r>
        <w:rPr>
          <w:highlight w:val="yellow"/>
          <w:rtl/>
        </w:rPr>
        <w:t xml:space="preserve">]</w:t>
      </w:r>
      <w:r>
        <w:rPr>
          <w:rtl/>
        </w:rPr>
        <w:t xml:space="preserve"> وتنتهي في </w:t>
      </w:r>
      <w:r>
        <w:rPr>
          <w:highlight w:val="yellow"/>
          <w:rtl/>
        </w:rPr>
        <w:t xml:space="preserve">[</w:t>
      </w:r>
      <w:r>
        <w:rPr>
          <w:highlight w:val="yellow"/>
          <w:rtl/>
        </w:rPr>
        <w:t xml:space="preserve">التاريخ</w:t>
      </w:r>
      <w:r>
        <w:rPr>
          <w:highlight w:val="yellow"/>
          <w:rtl/>
        </w:rPr>
        <w:t xml:space="preserve">]</w:t>
      </w:r>
      <w:r>
        <w:rPr>
          <w:rtl/>
        </w:rPr>
        <w:t xml:space="preserve">.</w:t>
      </w:r>
    </w:p>
    <w:p>
      <w:pPr>
        <w:pStyle w:val="Heading1"/>
        <w:bidi/>
      </w:pPr>
      <w:commentRangeStart w:id="4"/>
      <w:r>
        <w:rPr>
          <w:rtl/>
        </w:rPr>
        <w:t xml:space="preserve">البند (5): الأجرة وطريقة السداد</w:t>
      </w:r>
      <w:commentRangeEnd w:id="4"/>
      <w:r>
        <w:rPr>
          <w:rtl/>
        </w:rPr>
        <w:commentReference w:id="4"/>
      </w:r>
    </w:p>
    <w:p>
      <w:pPr>
        <w:bidi/>
      </w:pPr>
      <w:r>
        <w:rPr>
          <w:rtl/>
        </w:rPr>
        <w:t xml:space="preserve">الأجرة السنوية </w:t>
      </w:r>
      <w:r>
        <w:rPr>
          <w:highlight w:val="yellow"/>
          <w:rtl/>
        </w:rPr>
        <w:t xml:space="preserve">[</w:t>
      </w:r>
      <w:r>
        <w:rPr>
          <w:highlight w:val="yellow"/>
          <w:rtl/>
        </w:rPr>
        <w:t xml:space="preserve">المبلغ</w:t>
      </w:r>
      <w:r>
        <w:rPr>
          <w:highlight w:val="yellow"/>
          <w:rtl/>
        </w:rPr>
        <w:t xml:space="preserve">]</w:t>
      </w:r>
      <w:r>
        <w:rPr>
          <w:rtl/>
        </w:rPr>
        <w:t xml:space="preserve">، تُدفع على </w:t>
      </w:r>
      <w:r>
        <w:rPr>
          <w:highlight w:val="yellow"/>
          <w:rtl/>
        </w:rPr>
        <w:t xml:space="preserve">[</w:t>
      </w:r>
      <w:r>
        <w:rPr>
          <w:highlight w:val="yellow"/>
          <w:rtl/>
        </w:rPr>
        <w:t xml:space="preserve">●</w:t>
      </w:r>
      <w:r>
        <w:rPr>
          <w:highlight w:val="yellow"/>
          <w:rtl/>
        </w:rPr>
        <w:t xml:space="preserve">]</w:t>
      </w:r>
      <w:r>
        <w:rPr>
          <w:rtl/>
        </w:rPr>
        <w:t xml:space="preserve"> دفعات في </w:t>
      </w:r>
      <w:r>
        <w:rPr>
          <w:highlight w:val="yellow"/>
          <w:rtl/>
        </w:rPr>
        <w:t xml:space="preserve">[</w:t>
      </w:r>
      <w:r>
        <w:rPr>
          <w:highlight w:val="yellow"/>
          <w:rtl/>
        </w:rPr>
        <w:t xml:space="preserve">التواريخ</w:t>
      </w:r>
      <w:r>
        <w:rPr>
          <w:highlight w:val="yellow"/>
          <w:rtl/>
        </w:rPr>
        <w:t xml:space="preserve">]</w:t>
      </w:r>
      <w:r>
        <w:rPr>
          <w:rtl/>
        </w:rPr>
        <w:t xml:space="preserve"> عن طريق </w:t>
      </w:r>
      <w:r>
        <w:rPr>
          <w:highlight w:val="yellow"/>
          <w:rtl/>
        </w:rPr>
        <w:t xml:space="preserve">[</w:t>
      </w:r>
      <w:r>
        <w:rPr>
          <w:highlight w:val="yellow"/>
          <w:rtl/>
        </w:rPr>
        <w:t xml:space="preserve">الوسيلة</w:t>
      </w:r>
      <w:r>
        <w:rPr>
          <w:highlight w:val="yellow"/>
          <w:rtl/>
        </w:rPr>
        <w:t xml:space="preserve">]</w:t>
      </w:r>
      <w:r>
        <w:rPr>
          <w:rtl/>
        </w:rPr>
        <w:t xml:space="preserve">.</w:t>
      </w:r>
    </w:p>
    <w:p>
      <w:pPr>
        <w:pStyle w:val="Heading1"/>
        <w:bidi/>
      </w:pPr>
      <w:r>
        <w:rPr>
          <w:rtl/>
        </w:rPr>
        <w:t xml:space="preserve">البند (6): مبلغ التأمين</w:t>
      </w:r>
    </w:p>
    <w:p>
      <w:pPr>
        <w:bidi/>
      </w:pPr>
      <w:r>
        <w:rPr>
          <w:highlight w:val="yellow"/>
          <w:rtl/>
        </w:rPr>
        <w:t xml:space="preserve">[</w:t>
      </w:r>
      <w:r>
        <w:rPr>
          <w:highlight w:val="yellow"/>
          <w:rtl/>
        </w:rPr>
        <w:t xml:space="preserve">المبلغ</w:t>
      </w:r>
      <w:r>
        <w:rPr>
          <w:highlight w:val="yellow"/>
          <w:rtl/>
        </w:rPr>
        <w:t xml:space="preserve">]</w:t>
      </w:r>
      <w:r>
        <w:rPr>
          <w:rtl/>
        </w:rPr>
        <w:t xml:space="preserve">، يُردّ خلال </w:t>
      </w:r>
      <w:r>
        <w:rPr>
          <w:highlight w:val="yellow"/>
          <w:rtl/>
        </w:rPr>
        <w:t xml:space="preserve">[</w:t>
      </w:r>
      <w:r>
        <w:rPr>
          <w:highlight w:val="yellow"/>
          <w:rtl/>
        </w:rPr>
        <w:t xml:space="preserve">●</w:t>
      </w:r>
      <w:r>
        <w:rPr>
          <w:highlight w:val="yellow"/>
          <w:rtl/>
        </w:rPr>
        <w:t xml:space="preserve">]</w:t>
      </w:r>
      <w:r>
        <w:rPr>
          <w:rtl/>
        </w:rPr>
        <w:t xml:space="preserve"> يوماً من تسليم العين بعد خصم المبالغ المستحقة الموثقة.</w:t>
      </w:r>
    </w:p>
    <w:p>
      <w:pPr>
        <w:pStyle w:val="Heading1"/>
        <w:bidi/>
      </w:pPr>
      <w:commentRangeStart w:id="5"/>
      <w:r>
        <w:rPr>
          <w:rtl/>
        </w:rPr>
        <w:t xml:space="preserve">البند (7): تسجيل العقد</w:t>
      </w:r>
      <w:commentRangeEnd w:id="5"/>
      <w:r>
        <w:rPr>
          <w:rtl/>
        </w:rPr>
        <w:commentReference w:id="5"/>
      </w:r>
    </w:p>
    <w:p>
      <w:pPr>
        <w:bidi/>
      </w:pPr>
      <w:r>
        <w:rPr>
          <w:rtl/>
        </w:rPr>
        <w:t xml:space="preserve">يلتزم المؤجر بتسجيل هذا العقد في </w:t>
      </w:r>
      <w:r>
        <w:rPr>
          <w:highlight w:val="yellow"/>
          <w:rtl/>
        </w:rPr>
        <w:t xml:space="preserve">[</w:t>
      </w:r>
      <w:r>
        <w:rPr>
          <w:highlight w:val="yellow"/>
          <w:rtl/>
        </w:rPr>
        <w:t xml:space="preserve">منصة إيجار/نظام إيجاري/نظام توثيق/جهة التسجيل المختصة</w:t>
      </w:r>
      <w:r>
        <w:rPr>
          <w:highlight w:val="yellow"/>
          <w:rtl/>
        </w:rPr>
        <w:t xml:space="preserve">]</w:t>
      </w:r>
      <w:r>
        <w:rPr>
          <w:rtl/>
        </w:rPr>
        <w:t xml:space="preserve"> خلال </w:t>
      </w:r>
      <w:r>
        <w:rPr>
          <w:highlight w:val="yellow"/>
          <w:rtl/>
        </w:rPr>
        <w:t xml:space="preserve">[</w:t>
      </w:r>
      <w:r>
        <w:rPr>
          <w:highlight w:val="yellow"/>
          <w:rtl/>
        </w:rPr>
        <w:t xml:space="preserve">●</w:t>
      </w:r>
      <w:r>
        <w:rPr>
          <w:highlight w:val="yellow"/>
          <w:rtl/>
        </w:rPr>
        <w:t xml:space="preserve">]</w:t>
      </w:r>
      <w:r>
        <w:rPr>
          <w:rtl/>
        </w:rPr>
        <w:t xml:space="preserve"> يوماً من توقيعه، وتسليم المستأجر نسخة من شهادة التسجيل.</w:t>
      </w:r>
    </w:p>
    <w:p>
      <w:pPr>
        <w:pStyle w:val="Heading1"/>
        <w:bidi/>
      </w:pPr>
      <w:commentRangeStart w:id="6"/>
      <w:r>
        <w:rPr>
          <w:rtl/>
        </w:rPr>
        <w:t xml:space="preserve">البند (8): الخدمات والرسوم</w:t>
      </w:r>
      <w:commentRangeEnd w:id="6"/>
      <w:r>
        <w:rPr>
          <w:rtl/>
        </w:rPr>
        <w:commentReference w:id="6"/>
      </w:r>
    </w:p>
    <w:p>
      <w:pPr>
        <w:bidi/>
      </w:pPr>
      <w:r>
        <w:rPr>
          <w:rtl/>
        </w:rPr>
        <w:t xml:space="preserve">يتحمّل </w:t>
      </w:r>
      <w:r>
        <w:rPr>
          <w:highlight w:val="yellow"/>
          <w:rtl/>
        </w:rPr>
        <w:t xml:space="preserve">[</w:t>
      </w:r>
      <w:r>
        <w:rPr>
          <w:highlight w:val="yellow"/>
          <w:rtl/>
        </w:rPr>
        <w:t xml:space="preserve">الطرف</w:t>
      </w:r>
      <w:r>
        <w:rPr>
          <w:highlight w:val="yellow"/>
          <w:rtl/>
        </w:rPr>
        <w:t xml:space="preserve">]</w:t>
      </w:r>
      <w:r>
        <w:rPr>
          <w:rtl/>
        </w:rPr>
        <w:t xml:space="preserve"> رسوم </w:t>
      </w:r>
      <w:r>
        <w:rPr>
          <w:highlight w:val="yellow"/>
          <w:rtl/>
        </w:rPr>
        <w:t xml:space="preserve">[</w:t>
      </w:r>
      <w:r>
        <w:rPr>
          <w:highlight w:val="yellow"/>
          <w:rtl/>
        </w:rPr>
        <w:t xml:space="preserve">الكهرباء/المياه/التبريد/الإنترنت/رسوم الخدمات</w:t>
      </w:r>
      <w:r>
        <w:rPr>
          <w:highlight w:val="yellow"/>
          <w:rtl/>
        </w:rPr>
        <w:t xml:space="preserve">]</w:t>
      </w:r>
      <w:r>
        <w:rPr>
          <w:rtl/>
        </w:rPr>
        <w:t xml:space="preserve">.</w:t>
      </w:r>
    </w:p>
    <w:p>
      <w:pPr>
        <w:pStyle w:val="Heading1"/>
        <w:bidi/>
      </w:pPr>
      <w:commentRangeStart w:id="7"/>
      <w:r>
        <w:rPr>
          <w:rtl/>
        </w:rPr>
        <w:t xml:space="preserve">البند (9): الصيانة</w:t>
      </w:r>
      <w:commentRangeEnd w:id="7"/>
      <w:r>
        <w:rPr>
          <w:rtl/>
        </w:rPr>
        <w:commentReference w:id="7"/>
      </w:r>
    </w:p>
    <w:p>
      <w:pPr>
        <w:bidi/>
      </w:pPr>
      <w:r>
        <w:rPr>
          <w:rtl/>
        </w:rPr>
        <w:t xml:space="preserve">يتحمّل المؤجر أعمال الصيانة </w:t>
      </w:r>
      <w:r>
        <w:rPr>
          <w:highlight w:val="yellow"/>
          <w:rtl/>
        </w:rPr>
        <w:t xml:space="preserve">[</w:t>
      </w:r>
      <w:r>
        <w:rPr>
          <w:highlight w:val="yellow"/>
          <w:rtl/>
        </w:rPr>
        <w:t xml:space="preserve">الإنشائية/الجوهرية</w:t>
      </w:r>
      <w:r>
        <w:rPr>
          <w:highlight w:val="yellow"/>
          <w:rtl/>
        </w:rPr>
        <w:t xml:space="preserve">]</w:t>
      </w:r>
      <w:r>
        <w:rPr>
          <w:rtl/>
        </w:rPr>
        <w:t xml:space="preserve">، ويتحمّل المستأجر أعمال الصيانة </w:t>
      </w:r>
      <w:r>
        <w:rPr>
          <w:highlight w:val="yellow"/>
          <w:rtl/>
        </w:rPr>
        <w:t xml:space="preserve">[</w:t>
      </w:r>
      <w:r>
        <w:rPr>
          <w:highlight w:val="yellow"/>
          <w:rtl/>
        </w:rPr>
        <w:t xml:space="preserve">البسيطة/الدورية</w:t>
      </w:r>
      <w:r>
        <w:rPr>
          <w:highlight w:val="yellow"/>
          <w:rtl/>
        </w:rPr>
        <w:t xml:space="preserve">]</w:t>
      </w:r>
      <w:r>
        <w:rPr>
          <w:rtl/>
        </w:rPr>
        <w:t xml:space="preserve"> وفق الجدول المرفق.</w:t>
      </w:r>
    </w:p>
    <w:p>
      <w:pPr>
        <w:pStyle w:val="Heading1"/>
        <w:bidi/>
      </w:pPr>
      <w:commentRangeStart w:id="8"/>
      <w:r>
        <w:rPr>
          <w:rtl/>
        </w:rPr>
        <w:t xml:space="preserve">البند (10): التعديلات والتأجير من الباطن</w:t>
      </w:r>
      <w:commentRangeEnd w:id="8"/>
      <w:r>
        <w:rPr>
          <w:rtl/>
        </w:rPr>
        <w:commentReference w:id="8"/>
      </w:r>
    </w:p>
    <w:p>
      <w:pPr>
        <w:bidi/>
      </w:pPr>
      <w:r>
        <w:rPr>
          <w:rtl/>
        </w:rPr>
        <w:t xml:space="preserve">لا يجوز للمستأجر إجراء أي تعديل في العين أو تأجيرها من الباطن أو التنازل عنها إلا بموافقة كتابية مسبقة من المؤجر.</w:t>
      </w:r>
    </w:p>
    <w:p>
      <w:pPr>
        <w:pStyle w:val="Heading1"/>
        <w:bidi/>
      </w:pPr>
      <w:commentRangeStart w:id="9"/>
      <w:r>
        <w:rPr>
          <w:rtl/>
        </w:rPr>
        <w:t xml:space="preserve">البند (11): التسليم والاستلام</w:t>
      </w:r>
      <w:commentRangeEnd w:id="9"/>
      <w:r>
        <w:rPr>
          <w:rtl/>
        </w:rPr>
        <w:commentReference w:id="9"/>
      </w:r>
    </w:p>
    <w:p>
      <w:pPr>
        <w:bidi/>
      </w:pPr>
      <w:r>
        <w:rPr>
          <w:rtl/>
        </w:rPr>
        <w:t xml:space="preserve">يوقّع الطرفان محضر استلام وجرداً بمحتويات العين عند بدء الإيجار وعند انتهائه (ملحق).</w:t>
      </w:r>
    </w:p>
    <w:p>
      <w:pPr>
        <w:pStyle w:val="Heading1"/>
        <w:bidi/>
      </w:pPr>
      <w:commentRangeStart w:id="10"/>
      <w:r>
        <w:rPr>
          <w:rtl/>
        </w:rPr>
        <w:t xml:space="preserve">البند (12): التجديد وعدم التجديد وتعديل الأجرة</w:t>
      </w:r>
      <w:commentRangeEnd w:id="10"/>
      <w:r>
        <w:rPr>
          <w:rtl/>
        </w:rPr>
        <w:commentReference w:id="10"/>
      </w:r>
    </w:p>
    <w:p>
      <w:pPr>
        <w:bidi/>
      </w:pPr>
      <w:r>
        <w:rPr>
          <w:rtl/>
        </w:rPr>
        <w:t xml:space="preserve">على الطرف الذي لا يرغب في التجديد أو يرغب في تعديل الشروط إخطار الطرف الآخر كتابةً قبل انتهاء المدة بـ</w:t>
      </w:r>
      <w:r>
        <w:rPr>
          <w:highlight w:val="yellow"/>
          <w:rtl/>
        </w:rPr>
        <w:t xml:space="preserve">[</w:t>
      </w:r>
      <w:r>
        <w:rPr>
          <w:highlight w:val="yellow"/>
          <w:rtl/>
        </w:rPr>
        <w:t xml:space="preserve">●</w:t>
      </w:r>
      <w:r>
        <w:rPr>
          <w:highlight w:val="yellow"/>
          <w:rtl/>
        </w:rPr>
        <w:t xml:space="preserve">]</w:t>
      </w:r>
      <w:r>
        <w:rPr>
          <w:rtl/>
        </w:rPr>
        <w:t xml:space="preserve"> يوماً على الأقل.</w:t>
      </w:r>
    </w:p>
    <w:p>
      <w:pPr>
        <w:pStyle w:val="Heading1"/>
        <w:bidi/>
      </w:pPr>
      <w:commentRangeStart w:id="11"/>
      <w:r>
        <w:rPr>
          <w:rtl/>
        </w:rPr>
        <w:t xml:space="preserve">البند (13): الإنهاء والإخلاء</w:t>
      </w:r>
      <w:commentRangeEnd w:id="11"/>
      <w:r>
        <w:rPr>
          <w:rtl/>
        </w:rPr>
        <w:commentReference w:id="11"/>
      </w:r>
    </w:p>
    <w:p>
      <w:pPr>
        <w:bidi/>
      </w:pPr>
      <w:r>
        <w:rPr>
          <w:rtl/>
        </w:rPr>
        <w:t xml:space="preserve">لا يُنهى العقد قبل انتهاء مدته إلا في الحالات المقررة في النظام المعمول به أو المتفق عليها في هذا العقد: </w:t>
      </w:r>
      <w:r>
        <w:rPr>
          <w:highlight w:val="yellow"/>
          <w:rtl/>
        </w:rPr>
        <w:t xml:space="preserve">[</w:t>
      </w:r>
      <w:r>
        <w:rPr>
          <w:highlight w:val="yellow"/>
          <w:rtl/>
        </w:rPr>
        <w:t xml:space="preserve">●</w:t>
      </w:r>
      <w:r>
        <w:rPr>
          <w:highlight w:val="yellow"/>
          <w:rtl/>
        </w:rPr>
        <w:t xml:space="preserve">]</w:t>
      </w:r>
      <w:r>
        <w:rPr>
          <w:rtl/>
        </w:rPr>
        <w:t xml:space="preserve">.</w:t>
      </w:r>
    </w:p>
    <w:p>
      <w:pPr>
        <w:pStyle w:val="Heading1"/>
        <w:bidi/>
      </w:pPr>
      <w:r>
        <w:rPr>
          <w:rtl/>
        </w:rPr>
        <w:t xml:space="preserve">البند (14): الإخطارات</w:t>
      </w:r>
    </w:p>
    <w:p>
      <w:pPr>
        <w:bidi/>
      </w:pPr>
      <w:r>
        <w:rPr>
          <w:rtl/>
        </w:rPr>
        <w:t xml:space="preserve">تُوجَّه الإخطارات إلى العناوين ووسائل الاتصال المبيّنة أعلاه أو عبر المنصة الرسمية.</w:t>
      </w:r>
    </w:p>
    <w:p>
      <w:pPr>
        <w:pStyle w:val="Heading1"/>
        <w:bidi/>
      </w:pPr>
      <w:commentRangeStart w:id="12"/>
      <w:r>
        <w:rPr>
          <w:rtl/>
        </w:rPr>
        <w:t xml:space="preserve">البند (15): النظام الواجب التطبيق وتسوية النزاعات</w:t>
      </w:r>
      <w:commentRangeEnd w:id="12"/>
      <w:r>
        <w:rPr>
          <w:rtl/>
        </w:rPr>
        <w:commentReference w:id="12"/>
      </w:r>
    </w:p>
    <w:p>
      <w:pPr>
        <w:bidi/>
      </w:pPr>
      <w:r>
        <w:rPr>
          <w:rtl/>
        </w:rPr>
        <w:t xml:space="preserve">يخضع هذا العقد لأنظمة </w:t>
      </w:r>
      <w:r>
        <w:rPr>
          <w:highlight w:val="yellow"/>
          <w:rtl/>
        </w:rPr>
        <w:t xml:space="preserve">[</w:t>
      </w:r>
      <w:r>
        <w:rPr>
          <w:highlight w:val="yellow"/>
          <w:rtl/>
        </w:rPr>
        <w:t xml:space="preserve">الدولة/الإمارة</w:t>
      </w:r>
      <w:r>
        <w:rPr>
          <w:highlight w:val="yellow"/>
          <w:rtl/>
        </w:rPr>
        <w:t xml:space="preserve">]</w:t>
      </w:r>
      <w:r>
        <w:rPr>
          <w:rtl/>
        </w:rPr>
        <w:t xml:space="preserve">، وتختص بنظر نزاعاته الجهة المختصة.</w:t>
      </w:r>
    </w:p>
    <w:p>
      <w:pPr>
        <w:pStyle w:val="Heading1"/>
        <w:bidi/>
      </w:pPr>
      <w:commentRangeStart w:id="13"/>
      <w:r>
        <w:rPr>
          <w:rtl/>
        </w:rPr>
        <w:t xml:space="preserve">البند (16): اللغة والتوقيع</w:t>
      </w:r>
      <w:commentRangeEnd w:id="13"/>
      <w:r>
        <w:rPr>
          <w:rtl/>
        </w:rPr>
        <w:commentReference w:id="13"/>
      </w:r>
    </w:p>
    <w:p>
      <w:pPr>
        <w:bidi/>
      </w:pPr>
      <w:r>
        <w:rPr>
          <w:rtl/>
        </w:rPr>
        <w:t xml:space="preserve">حُرِّر باللغتين العربية والإنجليزية ويُعتمد النص العربي عند التعارض، ووُقِّع من </w:t>
      </w:r>
      <w:r>
        <w:rPr>
          <w:highlight w:val="yellow"/>
          <w:rtl/>
        </w:rPr>
        <w:t xml:space="preserve">[</w:t>
      </w:r>
      <w:r>
        <w:rPr>
          <w:highlight w:val="yellow"/>
          <w:rtl/>
        </w:rPr>
        <w:t xml:space="preserve">●</w:t>
      </w:r>
      <w:r>
        <w:rPr>
          <w:highlight w:val="yellow"/>
          <w:rtl/>
        </w:rPr>
        <w:t xml:space="preserve">]</w:t>
      </w:r>
      <w:r>
        <w:rPr>
          <w:rtl/>
        </w:rPr>
        <w:t xml:space="preserve"> نسخ.</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المؤجر:</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المستأجر:</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Style w:val="Heading1"/>
        <w:pageBreakBefore/>
        <w:bidi/>
      </w:pPr>
      <w:r>
        <w:rPr>
          <w:rtl/>
        </w:rPr>
        <w:t xml:space="preserve">الملحق (أ): السعودية (منصة إيجار)</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المسألة</w:t>
            </w:r>
          </w:p>
        </w:tc>
        <w:tc>
          <w:tcPr>
            <w:shd w:fill="EDEDED" w:color="auto" w:val="clear"/>
            <w:tcMar>
              <w:top w:type="dxa" w:w="80"/>
              <w:left w:type="dxa" w:w="100"/>
              <w:bottom w:type="dxa" w:w="80"/>
              <w:right w:type="dxa" w:w="100"/>
            </w:tcMar>
          </w:tcPr>
          <w:p>
            <w:pPr>
              <w:bidi/>
              <w:spacing w:after="0"/>
            </w:pPr>
            <w:r>
              <w:rPr>
                <w:b/>
                <w:bCs/>
                <w:sz w:val="18"/>
                <w:szCs w:val="18"/>
                <w:rtl/>
              </w:rPr>
              <w:t xml:space="preserve">الحكم</w:t>
            </w:r>
          </w:p>
        </w:tc>
      </w:tr>
      <w:tr>
        <w:trPr>
          <w:cantSplit/>
        </w:trPr>
        <w:tc>
          <w:tcPr>
            <w:tcMar>
              <w:top w:type="dxa" w:w="80"/>
              <w:left w:type="dxa" w:w="100"/>
              <w:bottom w:type="dxa" w:w="80"/>
              <w:right w:type="dxa" w:w="100"/>
            </w:tcMar>
          </w:tcPr>
          <w:p>
            <w:pPr>
              <w:bidi/>
              <w:spacing w:after="0"/>
            </w:pPr>
            <w:r>
              <w:rPr>
                <w:b w:val="false"/>
                <w:sz w:val="18"/>
                <w:szCs w:val="18"/>
                <w:rtl/>
              </w:rPr>
              <w:t xml:space="preserve">التسجيل</w:t>
            </w:r>
          </w:p>
        </w:tc>
        <w:tc>
          <w:tcPr>
            <w:tcMar>
              <w:top w:type="dxa" w:w="80"/>
              <w:left w:type="dxa" w:w="100"/>
              <w:bottom w:type="dxa" w:w="80"/>
              <w:right w:type="dxa" w:w="100"/>
            </w:tcMar>
          </w:tcPr>
          <w:p>
            <w:pPr>
              <w:bidi/>
              <w:spacing w:after="0"/>
            </w:pPr>
            <w:r>
              <w:rPr>
                <w:b w:val="false"/>
                <w:sz w:val="18"/>
                <w:szCs w:val="18"/>
                <w:rtl/>
              </w:rPr>
              <w:t xml:space="preserve">منصة إيجار هي المرجع الرسمي لتسجيل عقود الإيجار السكنية والتجارية، وبموجب قرار مجلس الوزراء رقم 292 وتاريخ 16/5/1438هـ لا يُعدّ العقد غير المسجَّل فيها عقداً صحيحاً منتجاً لآثاره الإدارية والقضائية.</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التنفيذ</w:t>
            </w:r>
          </w:p>
        </w:tc>
        <w:tc>
          <w:tcPr>
            <w:tcMar>
              <w:top w:type="dxa" w:w="80"/>
              <w:left w:type="dxa" w:w="100"/>
              <w:bottom w:type="dxa" w:w="80"/>
              <w:right w:type="dxa" w:w="100"/>
            </w:tcMar>
          </w:tcPr>
          <w:p>
            <w:pPr>
              <w:bidi/>
              <w:spacing w:after="0"/>
            </w:pPr>
            <w:r>
              <w:rPr>
                <w:b w:val="false"/>
                <w:sz w:val="18"/>
                <w:szCs w:val="18"/>
                <w:rtl/>
              </w:rPr>
              <w:t xml:space="preserve">العقد الإلكتروني في منصة إيجار سند تنفيذي يُقدَّم مباشرة إلى محكمة التنفيذ.</w:t>
            </w:r>
            <w:r>
              <w:rPr>
                <w:b w:val="false"/>
                <w:sz w:val="18"/>
                <w:szCs w:val="18"/>
                <w:rtl/>
              </w:rPr>
              <w:t xml:space="preserve"> [2]</w:t>
            </w:r>
          </w:p>
        </w:tc>
      </w:tr>
      <w:tr>
        <w:trPr>
          <w:cantSplit/>
        </w:trPr>
        <w:tc>
          <w:tcPr>
            <w:tcMar>
              <w:top w:type="dxa" w:w="80"/>
              <w:left w:type="dxa" w:w="100"/>
              <w:bottom w:type="dxa" w:w="80"/>
              <w:right w:type="dxa" w:w="100"/>
            </w:tcMar>
          </w:tcPr>
          <w:p>
            <w:pPr>
              <w:bidi/>
              <w:spacing w:after="0"/>
            </w:pPr>
            <w:r>
              <w:rPr>
                <w:b w:val="false"/>
                <w:sz w:val="18"/>
                <w:szCs w:val="18"/>
                <w:rtl/>
              </w:rPr>
              <w:t xml:space="preserve">العقود غير المسجَّلة</w:t>
            </w:r>
          </w:p>
        </w:tc>
        <w:tc>
          <w:tcPr>
            <w:tcMar>
              <w:top w:type="dxa" w:w="80"/>
              <w:left w:type="dxa" w:w="100"/>
              <w:bottom w:type="dxa" w:w="80"/>
              <w:right w:type="dxa" w:w="100"/>
            </w:tcMar>
          </w:tcPr>
          <w:p>
            <w:pPr>
              <w:bidi/>
              <w:spacing w:after="0"/>
            </w:pPr>
            <w:r>
              <w:rPr>
                <w:b w:val="false"/>
                <w:sz w:val="18"/>
                <w:szCs w:val="18"/>
                <w:rtl/>
              </w:rPr>
              <w:t xml:space="preserve">يلتزم المؤجر بطلب تسجيل العقود غير المسجَّلة في منصة إيجار، ويجوز للمستأجر تقديم الطلب، وللطرف الآخر الاعتراض أمام الهيئة العامة للعقار خلال ستين يوماً.</w:t>
            </w:r>
            <w:r>
              <w:rPr>
                <w:b w:val="false"/>
                <w:sz w:val="18"/>
                <w:szCs w:val="18"/>
                <w:rtl/>
              </w:rPr>
              <w:t xml:space="preserve"> [3]</w:t>
            </w:r>
          </w:p>
        </w:tc>
      </w:tr>
      <w:tr>
        <w:trPr>
          <w:cantSplit/>
        </w:trPr>
        <w:tc>
          <w:tcPr>
            <w:tcMar>
              <w:top w:type="dxa" w:w="80"/>
              <w:left w:type="dxa" w:w="100"/>
              <w:bottom w:type="dxa" w:w="80"/>
              <w:right w:type="dxa" w:w="100"/>
            </w:tcMar>
          </w:tcPr>
          <w:p>
            <w:pPr>
              <w:bidi/>
              <w:spacing w:after="0"/>
            </w:pPr>
            <w:r>
              <w:rPr>
                <w:b w:val="false"/>
                <w:sz w:val="18"/>
                <w:szCs w:val="18"/>
                <w:rtl/>
              </w:rPr>
              <w:t xml:space="preserve">التجديد التلقائي</w:t>
            </w:r>
          </w:p>
        </w:tc>
        <w:tc>
          <w:tcPr>
            <w:tcMar>
              <w:top w:type="dxa" w:w="80"/>
              <w:left w:type="dxa" w:w="100"/>
              <w:bottom w:type="dxa" w:w="80"/>
              <w:right w:type="dxa" w:w="100"/>
            </w:tcMar>
          </w:tcPr>
          <w:p>
            <w:pPr>
              <w:bidi/>
              <w:spacing w:after="0"/>
            </w:pPr>
            <w:r>
              <w:rPr>
                <w:b w:val="false"/>
                <w:sz w:val="18"/>
                <w:szCs w:val="18"/>
                <w:rtl/>
              </w:rPr>
              <w:t xml:space="preserve">يتجدد العقد تلقائياً في جميع مدن المملكة ما لم يُخطَر بعدم التجديد قبل انتهائه بستين يوماً على الأقل، مع استثناءات.</w:t>
            </w:r>
            <w:r>
              <w:rPr>
                <w:b w:val="false"/>
                <w:sz w:val="18"/>
                <w:szCs w:val="18"/>
                <w:rtl/>
              </w:rPr>
              <w:t xml:space="preserve"> [3]</w:t>
            </w:r>
          </w:p>
        </w:tc>
      </w:tr>
      <w:tr>
        <w:trPr>
          <w:cantSplit/>
        </w:trPr>
        <w:tc>
          <w:tcPr>
            <w:tcMar>
              <w:top w:type="dxa" w:w="80"/>
              <w:left w:type="dxa" w:w="100"/>
              <w:bottom w:type="dxa" w:w="80"/>
              <w:right w:type="dxa" w:w="100"/>
            </w:tcMar>
          </w:tcPr>
          <w:p>
            <w:pPr>
              <w:bidi/>
              <w:spacing w:after="0"/>
            </w:pPr>
            <w:r>
              <w:rPr>
                <w:b w:val="false"/>
                <w:sz w:val="18"/>
                <w:szCs w:val="18"/>
                <w:rtl/>
              </w:rPr>
              <w:t xml:space="preserve">إيقاف الزيادة في الرياض</w:t>
            </w:r>
          </w:p>
        </w:tc>
        <w:tc>
          <w:tcPr>
            <w:tcMar>
              <w:top w:type="dxa" w:w="80"/>
              <w:left w:type="dxa" w:w="100"/>
              <w:bottom w:type="dxa" w:w="80"/>
              <w:right w:type="dxa" w:w="100"/>
            </w:tcMar>
          </w:tcPr>
          <w:p>
            <w:pPr>
              <w:bidi/>
              <w:spacing w:after="0"/>
            </w:pPr>
            <w:r>
              <w:rPr>
                <w:b w:val="false"/>
                <w:sz w:val="18"/>
                <w:szCs w:val="18"/>
                <w:rtl/>
              </w:rPr>
              <w:t xml:space="preserve">إيقاف الزيادة في القيمة الإجمالية لأجرة العقارات السكنية والتجارية، القائمة والجديدة، داخل النطاق العمراني لمدينة الرياض لمدة خمس سنوات اعتباراً من 25 سبتمبر 2025.</w:t>
            </w:r>
            <w:r>
              <w:rPr>
                <w:b w:val="false"/>
                <w:sz w:val="18"/>
                <w:szCs w:val="18"/>
                <w:rtl/>
              </w:rPr>
              <w:t xml:space="preserve"> [3]</w:t>
            </w:r>
          </w:p>
        </w:tc>
      </w:tr>
      <w:tr>
        <w:trPr>
          <w:cantSplit/>
        </w:trPr>
        <w:tc>
          <w:tcPr>
            <w:tcMar>
              <w:top w:type="dxa" w:w="80"/>
              <w:left w:type="dxa" w:w="100"/>
              <w:bottom w:type="dxa" w:w="80"/>
              <w:right w:type="dxa" w:w="100"/>
            </w:tcMar>
          </w:tcPr>
          <w:p>
            <w:pPr>
              <w:bidi/>
              <w:spacing w:after="0"/>
            </w:pPr>
            <w:r>
              <w:rPr>
                <w:b w:val="false"/>
                <w:sz w:val="18"/>
                <w:szCs w:val="18"/>
                <w:rtl/>
              </w:rPr>
              <w:t xml:space="preserve">الغرامات</w:t>
            </w:r>
          </w:p>
        </w:tc>
        <w:tc>
          <w:tcPr>
            <w:tcMar>
              <w:top w:type="dxa" w:w="80"/>
              <w:left w:type="dxa" w:w="100"/>
              <w:bottom w:type="dxa" w:w="80"/>
              <w:right w:type="dxa" w:w="100"/>
            </w:tcMar>
          </w:tcPr>
          <w:p>
            <w:pPr>
              <w:bidi/>
              <w:spacing w:after="0"/>
            </w:pPr>
            <w:r>
              <w:rPr>
                <w:b w:val="false"/>
                <w:sz w:val="18"/>
                <w:szCs w:val="18"/>
                <w:rtl/>
              </w:rPr>
              <w:t xml:space="preserve">قد تصل غرامة مخالفة الضوابط إلى ما يعادل أجرة اثني عشر شهراً.</w:t>
            </w:r>
            <w:r>
              <w:rPr>
                <w:b w:val="false"/>
                <w:sz w:val="18"/>
                <w:szCs w:val="18"/>
                <w:rtl/>
              </w:rPr>
              <w:t xml:space="preserve"> [3]</w:t>
            </w:r>
          </w:p>
        </w:tc>
      </w:tr>
      <w:tr>
        <w:trPr>
          <w:cantSplit/>
        </w:trPr>
        <w:tc>
          <w:tcPr>
            <w:tcMar>
              <w:top w:type="dxa" w:w="80"/>
              <w:left w:type="dxa" w:w="100"/>
              <w:bottom w:type="dxa" w:w="80"/>
              <w:right w:type="dxa" w:w="100"/>
            </w:tcMar>
          </w:tcPr>
          <w:p>
            <w:pPr>
              <w:bidi/>
              <w:spacing w:after="0"/>
            </w:pPr>
            <w:r>
              <w:rPr>
                <w:b w:val="false"/>
                <w:sz w:val="18"/>
                <w:szCs w:val="18"/>
                <w:rtl/>
              </w:rPr>
              <w:t xml:space="preserve">نظام المعاملات المدنية</w:t>
            </w:r>
          </w:p>
        </w:tc>
        <w:tc>
          <w:tcPr>
            <w:tcMar>
              <w:top w:type="dxa" w:w="80"/>
              <w:left w:type="dxa" w:w="100"/>
              <w:bottom w:type="dxa" w:w="80"/>
              <w:right w:type="dxa" w:w="100"/>
            </w:tcMar>
          </w:tcPr>
          <w:p>
            <w:pPr>
              <w:bidi/>
              <w:spacing w:after="0"/>
            </w:pPr>
            <w:r>
              <w:rPr>
                <w:b w:val="false"/>
                <w:sz w:val="18"/>
                <w:szCs w:val="18"/>
                <w:rtl/>
              </w:rPr>
              <w:t xml:space="preserve">يعرّف عقد الإيجار (المادة 407)، ويتناول استمرار الانتفاع بعد انتهاء المدة (المادة 440)، وينص على أن عقد الإيجار لا ينتهي بوفاة أحد طرفيه (المادة 441).</w:t>
            </w:r>
            <w:r>
              <w:rPr>
                <w:b w:val="false"/>
                <w:sz w:val="18"/>
                <w:szCs w:val="18"/>
                <w:rtl/>
              </w:rPr>
              <w:t xml:space="preserve"> [11]</w:t>
            </w:r>
          </w:p>
        </w:tc>
      </w:tr>
    </w:tbl>
    <w:p>
      <w:pPr>
        <w:bidi/>
      </w:pPr>
    </w:p>
    <w:p>
      <w:pPr>
        <w:pStyle w:val="Heading1"/>
        <w:pageBreakBefore/>
        <w:bidi/>
      </w:pPr>
      <w:r>
        <w:rPr>
          <w:rtl/>
        </w:rPr>
        <w:t xml:space="preserve">الملحق (ب): الإمارات (إيجاري في دبي وتوثيق في أبوظبي)</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المسألة</w:t>
            </w:r>
          </w:p>
        </w:tc>
        <w:tc>
          <w:tcPr>
            <w:shd w:fill="EDEDED" w:color="auto" w:val="clear"/>
            <w:tcMar>
              <w:top w:type="dxa" w:w="80"/>
              <w:left w:type="dxa" w:w="100"/>
              <w:bottom w:type="dxa" w:w="80"/>
              <w:right w:type="dxa" w:w="100"/>
            </w:tcMar>
          </w:tcPr>
          <w:p>
            <w:pPr>
              <w:bidi/>
              <w:spacing w:after="0"/>
            </w:pPr>
            <w:r>
              <w:rPr>
                <w:b/>
                <w:bCs/>
                <w:sz w:val="18"/>
                <w:szCs w:val="18"/>
                <w:rtl/>
              </w:rPr>
              <w:t xml:space="preserve">الحكم</w:t>
            </w:r>
          </w:p>
        </w:tc>
      </w:tr>
      <w:tr>
        <w:trPr>
          <w:cantSplit/>
        </w:trPr>
        <w:tc>
          <w:tcPr>
            <w:tcMar>
              <w:top w:type="dxa" w:w="80"/>
              <w:left w:type="dxa" w:w="100"/>
              <w:bottom w:type="dxa" w:w="80"/>
              <w:right w:type="dxa" w:w="100"/>
            </w:tcMar>
          </w:tcPr>
          <w:p>
            <w:pPr>
              <w:bidi/>
              <w:spacing w:after="0"/>
            </w:pPr>
            <w:r>
              <w:rPr>
                <w:b w:val="false"/>
                <w:sz w:val="18"/>
                <w:szCs w:val="18"/>
                <w:rtl/>
              </w:rPr>
              <w:t xml:space="preserve">دبي: التسجيل</w:t>
            </w:r>
          </w:p>
        </w:tc>
        <w:tc>
          <w:tcPr>
            <w:tcMar>
              <w:top w:type="dxa" w:w="80"/>
              <w:left w:type="dxa" w:w="100"/>
              <w:bottom w:type="dxa" w:w="80"/>
              <w:right w:type="dxa" w:w="100"/>
            </w:tcMar>
          </w:tcPr>
          <w:p>
            <w:pPr>
              <w:bidi/>
              <w:spacing w:after="0"/>
            </w:pPr>
            <w:r>
              <w:rPr>
                <w:b w:val="false"/>
                <w:sz w:val="18"/>
                <w:szCs w:val="18"/>
                <w:rtl/>
              </w:rPr>
              <w:t xml:space="preserve">يجب أن يكون عقد الإيجار مكتوباً ومسجَّلاً لدى مؤسسة التنظيم العقاري، ولا تُقبل المنازعات المتعلقة بعقود غير مسجَّلة (المادة 4 من القانون رقم 26 لسنة 2007). ويجري التسجيل عبر نظام إيجاري.</w:t>
            </w:r>
            <w:r>
              <w:rPr>
                <w:b w:val="false"/>
                <w:sz w:val="18"/>
                <w:szCs w:val="18"/>
                <w:rtl/>
              </w:rPr>
              <w:t xml:space="preserve"> [4][5]</w:t>
            </w:r>
          </w:p>
        </w:tc>
      </w:tr>
      <w:tr>
        <w:trPr>
          <w:cantSplit/>
        </w:trPr>
        <w:tc>
          <w:tcPr>
            <w:tcMar>
              <w:top w:type="dxa" w:w="80"/>
              <w:left w:type="dxa" w:w="100"/>
              <w:bottom w:type="dxa" w:w="80"/>
              <w:right w:type="dxa" w:w="100"/>
            </w:tcMar>
          </w:tcPr>
          <w:p>
            <w:pPr>
              <w:bidi/>
              <w:spacing w:after="0"/>
            </w:pPr>
            <w:r>
              <w:rPr>
                <w:b w:val="false"/>
                <w:sz w:val="18"/>
                <w:szCs w:val="18"/>
                <w:rtl/>
              </w:rPr>
              <w:t xml:space="preserve">دبي: المدة والتجديد</w:t>
            </w:r>
          </w:p>
        </w:tc>
        <w:tc>
          <w:tcPr>
            <w:tcMar>
              <w:top w:type="dxa" w:w="80"/>
              <w:left w:type="dxa" w:w="100"/>
              <w:bottom w:type="dxa" w:w="80"/>
              <w:right w:type="dxa" w:w="100"/>
            </w:tcMar>
          </w:tcPr>
          <w:p>
            <w:pPr>
              <w:bidi/>
              <w:spacing w:after="0"/>
            </w:pPr>
            <w:r>
              <w:rPr>
                <w:b w:val="false"/>
                <w:sz w:val="18"/>
                <w:szCs w:val="18"/>
                <w:rtl/>
              </w:rPr>
              <w:t xml:space="preserve">يجب تحديد المدة (المادة 5)، وتنظّم المادة (6) التجديد.</w:t>
            </w:r>
            <w:r>
              <w:rPr>
                <w:b w:val="false"/>
                <w:sz w:val="18"/>
                <w:szCs w:val="18"/>
                <w:rtl/>
              </w:rPr>
              <w:t xml:space="preserve"> [4]</w:t>
            </w:r>
          </w:p>
        </w:tc>
      </w:tr>
      <w:tr>
        <w:trPr>
          <w:cantSplit/>
        </w:trPr>
        <w:tc>
          <w:tcPr>
            <w:tcMar>
              <w:top w:type="dxa" w:w="80"/>
              <w:left w:type="dxa" w:w="100"/>
              <w:bottom w:type="dxa" w:w="80"/>
              <w:right w:type="dxa" w:w="100"/>
            </w:tcMar>
          </w:tcPr>
          <w:p>
            <w:pPr>
              <w:bidi/>
              <w:spacing w:after="0"/>
            </w:pPr>
            <w:r>
              <w:rPr>
                <w:b w:val="false"/>
                <w:sz w:val="18"/>
                <w:szCs w:val="18"/>
                <w:rtl/>
              </w:rPr>
              <w:t xml:space="preserve">دبي: الإخطار</w:t>
            </w:r>
          </w:p>
        </w:tc>
        <w:tc>
          <w:tcPr>
            <w:tcMar>
              <w:top w:type="dxa" w:w="80"/>
              <w:left w:type="dxa" w:w="100"/>
              <w:bottom w:type="dxa" w:w="80"/>
              <w:right w:type="dxa" w:w="100"/>
            </w:tcMar>
          </w:tcPr>
          <w:p>
            <w:pPr>
              <w:bidi/>
              <w:spacing w:after="0"/>
            </w:pPr>
            <w:r>
              <w:rPr>
                <w:b w:val="false"/>
                <w:sz w:val="18"/>
                <w:szCs w:val="18"/>
                <w:rtl/>
              </w:rPr>
              <w:t xml:space="preserve">إخطار قبل انتهاء العقد بتسعين يوماً لتعديل شروطه أو عدم تجديده (المادة 14).</w:t>
            </w:r>
            <w:r>
              <w:rPr>
                <w:b w:val="false"/>
                <w:sz w:val="18"/>
                <w:szCs w:val="18"/>
                <w:rtl/>
              </w:rPr>
              <w:t xml:space="preserve"> [4]</w:t>
            </w:r>
          </w:p>
        </w:tc>
      </w:tr>
      <w:tr>
        <w:trPr>
          <w:cantSplit/>
        </w:trPr>
        <w:tc>
          <w:tcPr>
            <w:tcMar>
              <w:top w:type="dxa" w:w="80"/>
              <w:left w:type="dxa" w:w="100"/>
              <w:bottom w:type="dxa" w:w="80"/>
              <w:right w:type="dxa" w:w="100"/>
            </w:tcMar>
          </w:tcPr>
          <w:p>
            <w:pPr>
              <w:bidi/>
              <w:spacing w:after="0"/>
            </w:pPr>
            <w:r>
              <w:rPr>
                <w:b w:val="false"/>
                <w:sz w:val="18"/>
                <w:szCs w:val="18"/>
                <w:rtl/>
              </w:rPr>
              <w:t xml:space="preserve">دبي: الإخلاء</w:t>
            </w:r>
          </w:p>
        </w:tc>
        <w:tc>
          <w:tcPr>
            <w:tcMar>
              <w:top w:type="dxa" w:w="80"/>
              <w:left w:type="dxa" w:w="100"/>
              <w:bottom w:type="dxa" w:w="80"/>
              <w:right w:type="dxa" w:w="100"/>
            </w:tcMar>
          </w:tcPr>
          <w:p>
            <w:pPr>
              <w:bidi/>
              <w:spacing w:after="0"/>
            </w:pPr>
            <w:r>
              <w:rPr>
                <w:b w:val="false"/>
                <w:sz w:val="18"/>
                <w:szCs w:val="18"/>
                <w:rtl/>
              </w:rPr>
              <w:t xml:space="preserve">تحدد المادة (25) حالات الإخلاء.</w:t>
            </w:r>
            <w:r>
              <w:rPr>
                <w:b w:val="false"/>
                <w:sz w:val="18"/>
                <w:szCs w:val="18"/>
                <w:rtl/>
              </w:rPr>
              <w:t xml:space="preserve"> [4]</w:t>
            </w:r>
          </w:p>
        </w:tc>
      </w:tr>
      <w:tr>
        <w:trPr>
          <w:cantSplit/>
        </w:trPr>
        <w:tc>
          <w:tcPr>
            <w:tcMar>
              <w:top w:type="dxa" w:w="80"/>
              <w:left w:type="dxa" w:w="100"/>
              <w:bottom w:type="dxa" w:w="80"/>
              <w:right w:type="dxa" w:w="100"/>
            </w:tcMar>
          </w:tcPr>
          <w:p>
            <w:pPr>
              <w:bidi/>
              <w:spacing w:after="0"/>
            </w:pPr>
            <w:r>
              <w:rPr>
                <w:b w:val="false"/>
                <w:sz w:val="18"/>
                <w:szCs w:val="18"/>
                <w:rtl/>
              </w:rPr>
              <w:t xml:space="preserve">دبي: زيادة الأجرة</w:t>
            </w:r>
          </w:p>
        </w:tc>
        <w:tc>
          <w:tcPr>
            <w:tcMar>
              <w:top w:type="dxa" w:w="80"/>
              <w:left w:type="dxa" w:w="100"/>
              <w:bottom w:type="dxa" w:w="80"/>
              <w:right w:type="dxa" w:w="100"/>
            </w:tcMar>
          </w:tcPr>
          <w:p>
            <w:pPr>
              <w:bidi/>
              <w:spacing w:after="0"/>
            </w:pPr>
            <w:r>
              <w:rPr>
                <w:b w:val="false"/>
                <w:sz w:val="18"/>
                <w:szCs w:val="18"/>
                <w:rtl/>
              </w:rPr>
              <w:t xml:space="preserve">تخضع للقانون وللمرسوم رقم 43 لسنة 2013؛ فارجع إلى مؤشر الإيجارات.</w:t>
            </w:r>
            <w:r>
              <w:rPr>
                <w:b w:val="false"/>
                <w:sz w:val="18"/>
                <w:szCs w:val="18"/>
                <w:rtl/>
              </w:rPr>
              <w:t xml:space="preserve"> [12][13]</w:t>
            </w:r>
          </w:p>
        </w:tc>
      </w:tr>
      <w:tr>
        <w:trPr>
          <w:cantSplit/>
        </w:trPr>
        <w:tc>
          <w:tcPr>
            <w:tcMar>
              <w:top w:type="dxa" w:w="80"/>
              <w:left w:type="dxa" w:w="100"/>
              <w:bottom w:type="dxa" w:w="80"/>
              <w:right w:type="dxa" w:w="100"/>
            </w:tcMar>
          </w:tcPr>
          <w:p>
            <w:pPr>
              <w:bidi/>
              <w:spacing w:after="0"/>
            </w:pPr>
            <w:r>
              <w:rPr>
                <w:b w:val="false"/>
                <w:sz w:val="18"/>
                <w:szCs w:val="18"/>
                <w:rtl/>
              </w:rPr>
              <w:t xml:space="preserve">دبي: عقد الإيجار الموحد</w:t>
            </w:r>
          </w:p>
        </w:tc>
        <w:tc>
          <w:tcPr>
            <w:tcMar>
              <w:top w:type="dxa" w:w="80"/>
              <w:left w:type="dxa" w:w="100"/>
              <w:bottom w:type="dxa" w:w="80"/>
              <w:right w:type="dxa" w:w="100"/>
            </w:tcMar>
          </w:tcPr>
          <w:p>
            <w:pPr>
              <w:bidi/>
              <w:spacing w:after="0"/>
            </w:pPr>
            <w:r>
              <w:rPr>
                <w:b w:val="false"/>
                <w:sz w:val="18"/>
                <w:szCs w:val="18"/>
                <w:rtl/>
              </w:rPr>
              <w:t xml:space="preserve">يُعتمد النص العربي، ويتعهد المؤجر بتسجيل العقد في نظام إيجاري، ولا يجوز للمستأجر التأجير من الباطن أو التنازل عن العقد دون موافقة كتابية من المؤجر.</w:t>
            </w:r>
            <w:r>
              <w:rPr>
                <w:b w:val="false"/>
                <w:sz w:val="18"/>
                <w:szCs w:val="18"/>
                <w:rtl/>
              </w:rPr>
              <w:t xml:space="preserve"> [6][12]</w:t>
            </w:r>
          </w:p>
        </w:tc>
      </w:tr>
      <w:tr>
        <w:trPr>
          <w:cantSplit/>
        </w:trPr>
        <w:tc>
          <w:tcPr>
            <w:tcMar>
              <w:top w:type="dxa" w:w="80"/>
              <w:left w:type="dxa" w:w="100"/>
              <w:bottom w:type="dxa" w:w="80"/>
              <w:right w:type="dxa" w:w="100"/>
            </w:tcMar>
          </w:tcPr>
          <w:p>
            <w:pPr>
              <w:bidi/>
              <w:spacing w:after="0"/>
            </w:pPr>
            <w:r>
              <w:rPr>
                <w:b w:val="false"/>
                <w:sz w:val="18"/>
                <w:szCs w:val="18"/>
                <w:rtl/>
              </w:rPr>
              <w:t xml:space="preserve">دبي: التمثيل</w:t>
            </w:r>
          </w:p>
        </w:tc>
        <w:tc>
          <w:tcPr>
            <w:tcMar>
              <w:top w:type="dxa" w:w="80"/>
              <w:left w:type="dxa" w:w="100"/>
              <w:bottom w:type="dxa" w:w="80"/>
              <w:right w:type="dxa" w:w="100"/>
            </w:tcMar>
          </w:tcPr>
          <w:p>
            <w:pPr>
              <w:bidi/>
              <w:spacing w:after="0"/>
            </w:pPr>
            <w:r>
              <w:rPr>
                <w:b w:val="false"/>
                <w:sz w:val="18"/>
                <w:szCs w:val="18"/>
                <w:rtl/>
              </w:rPr>
              <w:t xml:space="preserve">يُشترط للتسجيل عن طريق ممثّل تقديم وكالة رسمية.</w:t>
            </w:r>
            <w:r>
              <w:rPr>
                <w:b w:val="false"/>
                <w:sz w:val="18"/>
                <w:szCs w:val="18"/>
                <w:rtl/>
              </w:rPr>
              <w:t xml:space="preserve"> [5]</w:t>
            </w:r>
          </w:p>
        </w:tc>
      </w:tr>
      <w:tr>
        <w:trPr>
          <w:cantSplit/>
        </w:trPr>
        <w:tc>
          <w:tcPr>
            <w:tcMar>
              <w:top w:type="dxa" w:w="80"/>
              <w:left w:type="dxa" w:w="100"/>
              <w:bottom w:type="dxa" w:w="80"/>
              <w:right w:type="dxa" w:w="100"/>
            </w:tcMar>
          </w:tcPr>
          <w:p>
            <w:pPr>
              <w:bidi/>
              <w:spacing w:after="0"/>
            </w:pPr>
            <w:r>
              <w:rPr>
                <w:b w:val="false"/>
                <w:sz w:val="18"/>
                <w:szCs w:val="18"/>
                <w:rtl/>
              </w:rPr>
              <w:t xml:space="preserve">أبوظبي: توثيق</w:t>
            </w:r>
          </w:p>
        </w:tc>
        <w:tc>
          <w:tcPr>
            <w:tcMar>
              <w:top w:type="dxa" w:w="80"/>
              <w:left w:type="dxa" w:w="100"/>
              <w:bottom w:type="dxa" w:w="80"/>
              <w:right w:type="dxa" w:w="100"/>
            </w:tcMar>
          </w:tcPr>
          <w:p>
            <w:pPr>
              <w:bidi/>
              <w:spacing w:after="0"/>
            </w:pPr>
            <w:r>
              <w:rPr>
                <w:b w:val="false"/>
                <w:sz w:val="18"/>
                <w:szCs w:val="18"/>
                <w:rtl/>
              </w:rPr>
              <w:t xml:space="preserve">يُسجِّل المؤجر أو مدير العقار عقد الإيجار على نموذج موحد، ويلزم التسجيل لتوصيل الخدمات.</w:t>
            </w:r>
            <w:r>
              <w:rPr>
                <w:b w:val="false"/>
                <w:sz w:val="18"/>
                <w:szCs w:val="18"/>
                <w:rtl/>
              </w:rPr>
              <w:t xml:space="preserve"> [7]</w:t>
            </w:r>
          </w:p>
        </w:tc>
      </w:tr>
      <w:tr>
        <w:trPr>
          <w:cantSplit/>
        </w:trPr>
        <w:tc>
          <w:tcPr>
            <w:tcMar>
              <w:top w:type="dxa" w:w="80"/>
              <w:left w:type="dxa" w:w="100"/>
              <w:bottom w:type="dxa" w:w="80"/>
              <w:right w:type="dxa" w:w="100"/>
            </w:tcMar>
          </w:tcPr>
          <w:p>
            <w:pPr>
              <w:bidi/>
              <w:spacing w:after="0"/>
            </w:pPr>
            <w:r>
              <w:rPr>
                <w:b w:val="false"/>
                <w:sz w:val="18"/>
                <w:szCs w:val="18"/>
                <w:rtl/>
              </w:rPr>
              <w:t xml:space="preserve">أبوظبي: قانون الإيجار</w:t>
            </w:r>
          </w:p>
        </w:tc>
        <w:tc>
          <w:tcPr>
            <w:tcMar>
              <w:top w:type="dxa" w:w="80"/>
              <w:left w:type="dxa" w:w="100"/>
              <w:bottom w:type="dxa" w:w="80"/>
              <w:right w:type="dxa" w:w="100"/>
            </w:tcMar>
          </w:tcPr>
          <w:p>
            <w:pPr>
              <w:bidi/>
              <w:spacing w:after="0"/>
            </w:pPr>
            <w:r>
              <w:rPr>
                <w:b w:val="false"/>
                <w:sz w:val="18"/>
                <w:szCs w:val="18"/>
                <w:rtl/>
              </w:rPr>
              <w:t xml:space="preserve">القانون رقم 20 لسنة 2006 وتعديلاته، كما ينشره مركز أبوظبي العقاري.</w:t>
            </w:r>
            <w:r>
              <w:rPr>
                <w:b w:val="false"/>
                <w:sz w:val="18"/>
                <w:szCs w:val="18"/>
                <w:rtl/>
              </w:rPr>
              <w:t xml:space="preserve"> [14]</w:t>
            </w:r>
          </w:p>
        </w:tc>
      </w:tr>
    </w:tbl>
    <w:p>
      <w:pPr>
        <w:bidi/>
      </w:pPr>
    </w:p>
    <w:p>
      <w:pPr>
        <w:pStyle w:val="Heading1"/>
        <w:bidi/>
      </w:pPr>
      <w:r>
        <w:rPr>
          <w:rtl/>
        </w:rPr>
        <w:t xml:space="preserve">دول الخليج الأخرى</w:t>
      </w:r>
    </w:p>
    <w:p>
      <w:pPr>
        <w:pStyle w:val="ListParagraph"/>
        <w:numPr>
          <w:ilvl w:val="0"/>
          <w:numId w:val="2"/>
        </w:numPr>
        <w:bidi/>
      </w:pPr>
      <w:r>
        <w:rPr>
          <w:b/>
          <w:bCs/>
          <w:rtl/>
        </w:rPr>
        <w:t xml:space="preserve">قطر:</w:t>
      </w:r>
      <w:r>
        <w:rPr>
          <w:rtl/>
        </w:rPr>
        <w:t xml:space="preserve"> تُسجَّل عقود الإيجار لدى مكتب التسجيل المنشأ بموجب قانون الإيجار (القانون رقم 4 لسنة 2008).</w:t>
      </w:r>
      <w:r>
        <w:rPr>
          <w:rtl/>
        </w:rPr>
        <w:t xml:space="preserve"> [8]</w:t>
      </w:r>
    </w:p>
    <w:p>
      <w:pPr>
        <w:pStyle w:val="ListParagraph"/>
        <w:numPr>
          <w:ilvl w:val="0"/>
          <w:numId w:val="2"/>
        </w:numPr>
        <w:bidi/>
      </w:pPr>
      <w:r>
        <w:rPr>
          <w:b/>
          <w:bCs/>
          <w:rtl/>
        </w:rPr>
        <w:t xml:space="preserve">البحرين:</w:t>
      </w:r>
      <w:r>
        <w:rPr>
          <w:rtl/>
        </w:rPr>
        <w:t xml:space="preserve"> تتوفر خدمة إلكترونية لتسجيل عقود الإيجار.</w:t>
      </w:r>
      <w:r>
        <w:rPr>
          <w:rtl/>
        </w:rPr>
        <w:t xml:space="preserve"> [9]</w:t>
      </w:r>
      <w:r>
        <w:rPr>
          <w:rtl/>
        </w:rPr>
        <w:t xml:space="preserve"> ولم نتحقق مما إذا كان التسجيل إلزامياً ولا من أثر عدم التسجيل.</w:t>
      </w:r>
    </w:p>
    <w:p>
      <w:pPr>
        <w:pStyle w:val="ListParagraph"/>
        <w:numPr>
          <w:ilvl w:val="0"/>
          <w:numId w:val="2"/>
        </w:numPr>
        <w:bidi/>
      </w:pPr>
      <w:r>
        <w:rPr>
          <w:b/>
          <w:bCs/>
          <w:rtl/>
        </w:rPr>
        <w:t xml:space="preserve">عُمان:</w:t>
      </w:r>
      <w:r>
        <w:rPr>
          <w:rtl/>
        </w:rPr>
        <w:t xml:space="preserve"> تتيح بلدية مسقط خدمات إلكترونية لتسجيل عقود الإيجار.</w:t>
      </w:r>
      <w:r>
        <w:rPr>
          <w:rtl/>
        </w:rPr>
        <w:t xml:space="preserve"> [10]</w:t>
      </w:r>
      <w:r>
        <w:rPr>
          <w:rtl/>
        </w:rPr>
        <w:t xml:space="preserve"> ولم نتحقق مما إذا كان التسجيل إلزامياً.</w:t>
      </w:r>
    </w:p>
    <w:p>
      <w:pPr>
        <w:pStyle w:val="ListParagraph"/>
        <w:numPr>
          <w:ilvl w:val="0"/>
          <w:numId w:val="2"/>
        </w:numPr>
        <w:bidi/>
      </w:pPr>
      <w:r>
        <w:rPr>
          <w:b/>
          <w:bCs/>
          <w:rtl/>
        </w:rPr>
        <w:t xml:space="preserve">الكويت:</w:t>
      </w:r>
      <w:r>
        <w:rPr>
          <w:rtl/>
        </w:rPr>
        <w:t xml:space="preserve"> تحقّق من الأحكام النافذة مع محامٍ كويتي.</w:t>
      </w:r>
    </w:p>
    <w:p>
      <w:pPr>
        <w:pStyle w:val="Heading1"/>
        <w:pageBreakBefore/>
        <w:bidi/>
      </w:pPr>
      <w:r>
        <w:rPr>
          <w:rtl/>
        </w:rPr>
        <w:t xml:space="preserve">محضر الاستلام والتسليم</w:t>
      </w:r>
    </w:p>
    <w:p>
      <w:pPr>
        <w:bidi/>
      </w:pPr>
      <w:r>
        <w:rPr>
          <w:rtl/>
        </w:rPr>
        <w:t xml:space="preserve">يُعبّأ عند بدء الإيجار ثم عند انتهائه، ويوقّع الطرفان كل نسخة منه.</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01"/>
        <w:gridCol w:w="1901"/>
        <w:gridCol w:w="1901"/>
        <w:gridCol w:w="1901"/>
        <w:gridCol w:w="1901"/>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الغرفة</w:t>
            </w:r>
          </w:p>
        </w:tc>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الحالة عند الاستلام</w:t>
            </w:r>
          </w:p>
        </w:tc>
        <w:tc>
          <w:tcPr>
            <w:shd w:fill="EDEDED" w:color="auto" w:val="clear"/>
            <w:tcMar>
              <w:top w:type="dxa" w:w="80"/>
              <w:left w:type="dxa" w:w="100"/>
              <w:bottom w:type="dxa" w:w="80"/>
              <w:right w:type="dxa" w:w="100"/>
            </w:tcMar>
          </w:tcPr>
          <w:p>
            <w:pPr>
              <w:bidi/>
              <w:spacing w:after="0"/>
            </w:pPr>
            <w:r>
              <w:rPr>
                <w:b/>
                <w:bCs/>
                <w:sz w:val="18"/>
                <w:szCs w:val="18"/>
                <w:rtl/>
              </w:rPr>
              <w:t xml:space="preserve">الحالة عند التسليم</w:t>
            </w:r>
          </w:p>
        </w:tc>
        <w:tc>
          <w:tcPr>
            <w:shd w:fill="EDEDED" w:color="auto" w:val="clear"/>
            <w:tcMar>
              <w:top w:type="dxa" w:w="80"/>
              <w:left w:type="dxa" w:w="100"/>
              <w:bottom w:type="dxa" w:w="80"/>
              <w:right w:type="dxa" w:w="100"/>
            </w:tcMar>
          </w:tcPr>
          <w:p>
            <w:pPr>
              <w:bidi/>
              <w:spacing w:after="0"/>
            </w:pPr>
            <w:r>
              <w:rPr>
                <w:b/>
                <w:bCs/>
                <w:sz w:val="18"/>
                <w:szCs w:val="18"/>
                <w:rtl/>
              </w:rPr>
              <w:t xml:space="preserve">ملاحظات</w:t>
            </w:r>
          </w:p>
        </w:tc>
      </w:tr>
      <w:tr>
        <w:trPr>
          <w:cantSplit/>
        </w:trPr>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غرفة المعيشة</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المطبخ والأجهزة</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غرفة النوم 1</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دورة المياه 1</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أجهزة التكييف</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المفاتيح وبطاقات الدخول</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العدد</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قراءات العدادات: الكهرباء/المياه</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bl>
    <w:p>
      <w:pPr>
        <w:bidi/>
      </w:pP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17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9coregypxthkx6nmdylw6">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‪https://www.qanu.ai/ar/نماذج/نموذج-عقد-إيجار‬ · آخر مراجعة: 17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منصة إيجار، الأسئلة الشائعة التنظيمية (قرار مجلس الوزراء رقم 292 وتاريخ 16/5/1438هـ) </w:t>
      </w:r>
      <w:hyperlink w:history="1" r:id="rId1_b4k-4umtujr6jp0yxmw">
        <w:r>
          <w:rPr>
            <w:rStyle w:val="Hyperlink"/>
            <w:sz w:val="16"/>
            <w:szCs w:val="16"/>
          </w:rPr>
          <w:t xml:space="preserve">https://www.ejar.sa/ar/faqregulation</w:t>
        </w:r>
      </w:hyperlink>
    </w:p>
    <w:p>
      <w:pPr>
        <w:bidi/>
        <w:ind w:start="360" w:hanging="360"/>
      </w:pPr>
      <w:r>
        <w:rPr>
          <w:sz w:val="18"/>
          <w:szCs w:val="18"/>
          <w:rtl/>
        </w:rPr>
        <w:t xml:space="preserve">[2] منصة إيجار، خدمة عقد الإيجار الإلكتروني </w:t>
      </w:r>
      <w:hyperlink w:history="1" r:id="rIdiilo0njlohgexrp2_rhay">
        <w:r>
          <w:rPr>
            <w:rStyle w:val="Hyperlink"/>
            <w:sz w:val="16"/>
            <w:szCs w:val="16"/>
          </w:rPr>
          <w:t xml:space="preserve">https://www.ejar.sa/en/service/355294</w:t>
        </w:r>
      </w:hyperlink>
    </w:p>
    <w:p>
      <w:pPr>
        <w:bidi/>
        <w:ind w:start="360" w:hanging="360"/>
      </w:pPr>
      <w:r>
        <w:rPr>
          <w:sz w:val="18"/>
          <w:szCs w:val="18"/>
          <w:rtl/>
        </w:rPr>
        <w:t xml:space="preserve">[3] الهيئة العامة للعقار، إعلان صدور الضوابط التنظيمية للعلاقة بين المؤجر والمستأجر </w:t>
      </w:r>
      <w:hyperlink w:history="1" r:id="rIdxgv6cra5wq9pi9oikr49t">
        <w:r>
          <w:rPr>
            <w:rStyle w:val="Hyperlink"/>
            <w:sz w:val="16"/>
            <w:szCs w:val="16"/>
          </w:rPr>
          <w:t xml:space="preserve">https://rega.gov.sa/en/media-center/news-announcements/in-line-with-hrh-crown-prince-s-directive-to-take-several-measures-to-achieve-balance-in-the-real-estate-sector-in-riyadh-approval-has-been-issued-for-regulatory-provisions-aimed-at-regulating-the-relationship-between-landlords-and-tenants/</w:t>
        </w:r>
      </w:hyperlink>
    </w:p>
    <w:p>
      <w:pPr>
        <w:bidi/>
        <w:ind w:start="360" w:hanging="360"/>
      </w:pPr>
      <w:r>
        <w:rPr>
          <w:sz w:val="18"/>
          <w:szCs w:val="18"/>
          <w:rtl/>
        </w:rPr>
        <w:t xml:space="preserve">[4] بوابة تشريعات دبي، القانون رقم (26) لسنة 2007 بشأن تنظيم العلاقة بين مؤجري ومستأجري العقارات في إمارة دبي (PDF) </w:t>
      </w:r>
      <w:hyperlink w:history="1" r:id="rIdqb0z2gtiihpsa7t-rd7zh">
        <w:r>
          <w:rPr>
            <w:rStyle w:val="Hyperlink"/>
            <w:sz w:val="16"/>
            <w:szCs w:val="16"/>
          </w:rPr>
          <w:t xml:space="preserve">https://dlp.dubai.gov.ae/Legislation%20Reference/2007/Law%20No.%20(26)%20of%202007.pdf</w:t>
        </w:r>
      </w:hyperlink>
    </w:p>
    <w:p>
      <w:pPr>
        <w:bidi/>
        <w:ind w:start="360" w:hanging="360"/>
      </w:pPr>
      <w:r>
        <w:rPr>
          <w:sz w:val="18"/>
          <w:szCs w:val="18"/>
          <w:rtl/>
        </w:rPr>
        <w:t xml:space="preserve">[5] دائرة الأراضي والأملاك في دبي، تسجيل عقد إيجاري أو تجديده </w:t>
      </w:r>
      <w:hyperlink w:history="1" r:id="rIdnrk3oo-7zj9uiknnp_ngx">
        <w:r>
          <w:rPr>
            <w:rStyle w:val="Hyperlink"/>
            <w:sz w:val="16"/>
            <w:szCs w:val="16"/>
          </w:rPr>
          <w:t xml:space="preserve">https://dubailand.gov.ae/en/eservices/register-renew-ejari-contract/</w:t>
        </w:r>
      </w:hyperlink>
    </w:p>
    <w:p>
      <w:pPr>
        <w:bidi/>
        <w:ind w:start="360" w:hanging="360"/>
      </w:pPr>
      <w:r>
        <w:rPr>
          <w:sz w:val="18"/>
          <w:szCs w:val="18"/>
          <w:rtl/>
        </w:rPr>
        <w:t xml:space="preserve">[6] دائرة الأراضي والأملاك في دبي، تنزيل عقد الإيجار الموحد (إيجاري) </w:t>
      </w:r>
      <w:hyperlink w:history="1" r:id="rIdkivrmw8yupa_btmjp2ybf">
        <w:r>
          <w:rPr>
            <w:rStyle w:val="Hyperlink"/>
            <w:sz w:val="16"/>
            <w:szCs w:val="16"/>
          </w:rPr>
          <w:t xml:space="preserve">https://dubailand.gov.ae/en/eservices/ejari-templates/download-unified-ejari-tenancy-contract</w:t>
        </w:r>
      </w:hyperlink>
    </w:p>
    <w:p>
      <w:pPr>
        <w:bidi/>
        <w:ind w:start="360" w:hanging="360"/>
      </w:pPr>
      <w:r>
        <w:rPr>
          <w:sz w:val="18"/>
          <w:szCs w:val="18"/>
          <w:rtl/>
        </w:rPr>
        <w:t xml:space="preserve">[7] منصة تم (حكومة أبوظبي)، إرشادات تسجيل عقود الإيجار (توثيق) </w:t>
      </w:r>
      <w:hyperlink w:history="1" r:id="rIdfjexf79qkjfo_enclehj9">
        <w:r>
          <w:rPr>
            <w:rStyle w:val="Hyperlink"/>
            <w:sz w:val="16"/>
            <w:szCs w:val="16"/>
          </w:rPr>
          <w:t xml:space="preserve">https://www.tamm.abudhabi/en/articles/lease-registration-guidelines</w:t>
        </w:r>
      </w:hyperlink>
    </w:p>
    <w:p>
      <w:pPr>
        <w:bidi/>
        <w:ind w:start="360" w:hanging="360"/>
      </w:pPr>
      <w:r>
        <w:rPr>
          <w:sz w:val="18"/>
          <w:szCs w:val="18"/>
          <w:rtl/>
        </w:rPr>
        <w:t xml:space="preserve">[8] الميزان – البوابة القانونية القطرية، القانون رقم (4) لسنة 2008 بشأن إيجار العقارات </w:t>
      </w:r>
      <w:hyperlink w:history="1" r:id="rIdo4o7dfqqdzwutnwvmyr14">
        <w:r>
          <w:rPr>
            <w:rStyle w:val="Hyperlink"/>
            <w:sz w:val="16"/>
            <w:szCs w:val="16"/>
          </w:rPr>
          <w:t xml:space="preserve">https://www.almeezan.qa/LawArticles.aspx?LawArticleID=75041&amp;language=ar&amp;lawId=3982</w:t>
        </w:r>
      </w:hyperlink>
    </w:p>
    <w:p>
      <w:pPr>
        <w:bidi/>
        <w:ind w:start="360" w:hanging="360"/>
      </w:pPr>
      <w:r>
        <w:rPr>
          <w:sz w:val="18"/>
          <w:szCs w:val="18"/>
          <w:rtl/>
        </w:rPr>
        <w:t xml:space="preserve">[9] البوابة الوطنية للحكومة الإلكترونية في البحرين، خدمة تسجيل عقود الإيجار </w:t>
      </w:r>
      <w:hyperlink w:history="1" r:id="rIdlsqc4l6nzxyenlshlkcb9">
        <w:r>
          <w:rPr>
            <w:rStyle w:val="Hyperlink"/>
            <w:sz w:val="16"/>
            <w:szCs w:val="16"/>
          </w:rPr>
          <w:t xml:space="preserve">https://services.bahrain.bh/wps/portal/LeaseContractReg_ar</w:t>
        </w:r>
      </w:hyperlink>
    </w:p>
    <w:p>
      <w:pPr>
        <w:bidi/>
        <w:ind w:start="360" w:hanging="360"/>
      </w:pPr>
      <w:r>
        <w:rPr>
          <w:sz w:val="18"/>
          <w:szCs w:val="18"/>
          <w:rtl/>
        </w:rPr>
        <w:t xml:space="preserve">[10] بلدية مسقط، بوابة الخدمات الإلكترونية </w:t>
      </w:r>
      <w:hyperlink w:history="1" r:id="rIdwuuio4-tospf1zasj_3zt">
        <w:r>
          <w:rPr>
            <w:rStyle w:val="Hyperlink"/>
            <w:sz w:val="16"/>
            <w:szCs w:val="16"/>
          </w:rPr>
          <w:t xml:space="preserve">https://eservices.mm.gov.om/</w:t>
        </w:r>
      </w:hyperlink>
    </w:p>
    <w:p>
      <w:pPr>
        <w:bidi/>
        <w:ind w:start="360" w:hanging="360"/>
      </w:pPr>
      <w:r>
        <w:rPr>
          <w:sz w:val="18"/>
          <w:szCs w:val="18"/>
          <w:rtl/>
        </w:rPr>
        <w:t xml:space="preserve">[11] بوابة الأنظمة بوزارة العدل، نظام المعاملات المدنية الصادر بالمرسوم الملكي رقم (م/191) وتاريخ 29/11/1444هـ </w:t>
      </w:r>
      <w:hyperlink w:history="1" r:id="rIdw6ur9faqtmhqq_3pmgs-y">
        <w:r>
          <w:rPr>
            <w:rStyle w:val="Hyperlink"/>
            <w:sz w:val="16"/>
            <w:szCs w:val="16"/>
          </w:rPr>
          <w:t xml:space="preserve">https://laws.moj.gov.sa/ar/legislation/PBbHmywh1XMp-Kyv3NtQLg</w:t>
        </w:r>
      </w:hyperlink>
    </w:p>
    <w:p>
      <w:pPr>
        <w:bidi/>
        <w:ind w:start="360" w:hanging="360"/>
      </w:pPr>
      <w:r>
        <w:rPr>
          <w:sz w:val="18"/>
          <w:szCs w:val="18"/>
          <w:rtl/>
        </w:rPr>
        <w:t xml:space="preserve">[12] دائرة الأراضي والأملاك في دبي، عقد الإيجار الموحد (PDF، بالعربية والإنجليزية) </w:t>
      </w:r>
      <w:hyperlink w:history="1" r:id="rIddzclbxj9t-8tku9h6ptqb">
        <w:r>
          <w:rPr>
            <w:rStyle w:val="Hyperlink"/>
            <w:sz w:val="16"/>
            <w:szCs w:val="16"/>
          </w:rPr>
          <w:t xml:space="preserve">https://dubailand.gov.ae/media/ivuhfjxa/ejari_unified_tenancy_contract.pdf</w:t>
        </w:r>
      </w:hyperlink>
    </w:p>
    <w:p>
      <w:pPr>
        <w:bidi/>
        <w:ind w:start="360" w:hanging="360"/>
      </w:pPr>
      <w:r>
        <w:rPr>
          <w:sz w:val="18"/>
          <w:szCs w:val="18"/>
          <w:rtl/>
        </w:rPr>
        <w:t xml:space="preserve">[13] دائرة الأراضي والأملاك في دبي، مؤشر الإيجارات </w:t>
      </w:r>
      <w:hyperlink w:history="1" r:id="rIdk-kqffntr04hrdsbih6bk">
        <w:r>
          <w:rPr>
            <w:rStyle w:val="Hyperlink"/>
            <w:sz w:val="16"/>
            <w:szCs w:val="16"/>
          </w:rPr>
          <w:t xml:space="preserve">https://dubailand.gov.ae/en/eservices/rental-index/</w:t>
        </w:r>
      </w:hyperlink>
    </w:p>
    <w:p>
      <w:pPr>
        <w:bidi/>
        <w:ind w:start="360" w:hanging="360"/>
      </w:pPr>
      <w:r>
        <w:rPr>
          <w:sz w:val="18"/>
          <w:szCs w:val="18"/>
          <w:rtl/>
        </w:rPr>
        <w:t xml:space="preserve">[14] مركز أبوظبي العقاري، أنظمة الإيجار وقوانينه </w:t>
      </w:r>
      <w:hyperlink w:history="1" r:id="rIdg3bnqfry0xckjabdmrouc">
        <w:r>
          <w:rPr>
            <w:rStyle w:val="Hyperlink"/>
            <w:sz w:val="16"/>
            <w:szCs w:val="16"/>
          </w:rPr>
          <w:t xml:space="preserve">https://adrec.gov.ae/en/rules_and_regulations/tenancy</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17T00:00:00.000Z">
    <w:p>
      <w:pPr>
        <w:bidi/>
      </w:pPr>
      <w:r>
        <w:rPr>
          <w:b/>
          <w:bCs/>
          <w:rtl/>
        </w:rPr>
        <w:t xml:space="preserve">ملاحظة صياغة</w:t>
      </w:r>
    </w:p>
    <w:p>
      <w:pPr>
        <w:bidi/>
      </w:pPr>
      <w:r>
        <w:rPr>
          <w:rtl/>
        </w:rPr>
        <w:t xml:space="preserve">إذا وقّع وكيل عن أحد الطرفين فأرفق </w:t>
      </w:r>
      <w:hyperlink w:history="1" r:id="rIdgh-q068ntgycpke7v-lgf">
        <w:r>
          <w:rPr>
            <w:rStyle w:val="Hyperlink"/>
            <w:rtl/>
          </w:rPr>
          <w:t xml:space="preserve">الوكالة</w:t>
        </w:r>
      </w:hyperlink>
      <w:r>
        <w:rPr>
          <w:rtl/>
        </w:rPr>
        <w:t xml:space="preserve">. ويُشترط لتسجيل عقد إيجاري عن طريق ممثّل تقديم وكالة رسمية.</w:t>
      </w:r>
      <w:r>
        <w:rPr>
          <w:rtl/>
        </w:rPr>
        <w:t xml:space="preserve"> [5]</w:t>
      </w:r>
      <w:r>
        <w:rPr>
          <w:rtl/>
        </w:rPr>
        <w:t xml:space="preserve"> وانظر أيضاً مصطلح </w:t>
      </w:r>
      <w:hyperlink w:history="1" r:id="rIdjc_qwjs0lvusinwagwegs">
        <w:r>
          <w:rPr>
            <w:rStyle w:val="Hyperlink"/>
            <w:rtl/>
          </w:rPr>
          <w:t xml:space="preserve">الكاتب العدل</w:t>
        </w:r>
      </w:hyperlink>
      <w:r>
        <w:rPr>
          <w:rtl/>
        </w:rPr>
        <w:t xml:space="preserve"> في المسرد القانوني. وإن كان المؤجر شركة فيُدوَّن رقم </w:t>
      </w:r>
      <w:hyperlink w:history="1" r:id="rId8gixu39ypsr5syhom9l9z">
        <w:r>
          <w:rPr>
            <w:rStyle w:val="Hyperlink"/>
            <w:rtl/>
          </w:rPr>
          <w:t xml:space="preserve">السجل التجاري</w:t>
        </w:r>
      </w:hyperlink>
      <w:r>
        <w:rPr>
          <w:rtl/>
        </w:rPr>
        <w:t xml:space="preserve"> الخاص بها.</w:t>
      </w:r>
    </w:p>
  </w:comment>
  <w:comment w:id="1" w:initials="Q" w:author="Qanu" w:date="2026-10-17T00:00:00.000Z">
    <w:p>
      <w:pPr>
        <w:bidi/>
      </w:pPr>
      <w:r>
        <w:rPr>
          <w:b/>
          <w:bCs/>
          <w:rtl/>
        </w:rPr>
        <w:t xml:space="preserve">ملاحظة صياغة</w:t>
      </w:r>
    </w:p>
    <w:p>
      <w:pPr>
        <w:bidi/>
      </w:pPr>
      <w:r>
        <w:rPr>
          <w:rtl/>
        </w:rPr>
        <w:t xml:space="preserve">يعرّف نظام المعاملات المدنية السعودي عقد الإيجار في المادة (407).</w:t>
      </w:r>
      <w:r>
        <w:rPr>
          <w:rtl/>
        </w:rPr>
        <w:t xml:space="preserve"> [11]</w:t>
      </w:r>
    </w:p>
  </w:comment>
  <w:comment w:id="2" w:initials="Q" w:author="Qanu" w:date="2026-10-17T00:00:00.000Z">
    <w:p>
      <w:pPr>
        <w:bidi/>
      </w:pPr>
      <w:r>
        <w:rPr>
          <w:b/>
          <w:bCs/>
          <w:rtl/>
        </w:rPr>
        <w:t xml:space="preserve">ملاحظة صياغة</w:t>
      </w:r>
    </w:p>
    <w:p>
      <w:pPr>
        <w:bidi/>
      </w:pPr>
      <w:r>
        <w:rPr>
          <w:rtl/>
        </w:rPr>
        <w:t xml:space="preserve">للسكن فقط؛ فلا يشمل النموذج الإيجار التجاري، ولا الوحدات المشتراة بنظام </w:t>
      </w:r>
      <w:hyperlink w:history="1" r:id="rId0qmm9ggeagbmbxjfdjqef">
        <w:r>
          <w:rPr>
            <w:rStyle w:val="Hyperlink"/>
            <w:rtl/>
          </w:rPr>
          <w:t xml:space="preserve">البيع على الخارطة</w:t>
        </w:r>
      </w:hyperlink>
      <w:r>
        <w:rPr>
          <w:rtl/>
        </w:rPr>
        <w:t xml:space="preserve">.</w:t>
      </w:r>
    </w:p>
  </w:comment>
  <w:comment w:id="3" w:initials="Q" w:author="Qanu" w:date="2026-10-17T00:00:00.000Z">
    <w:p>
      <w:pPr>
        <w:bidi/>
      </w:pPr>
      <w:r>
        <w:rPr>
          <w:b/>
          <w:bCs/>
          <w:rtl/>
        </w:rPr>
        <w:t xml:space="preserve">ملاحظة صياغة</w:t>
      </w:r>
    </w:p>
    <w:p>
      <w:pPr>
        <w:bidi/>
      </w:pPr>
      <w:r>
        <w:rPr>
          <w:rtl/>
        </w:rPr>
        <w:t xml:space="preserve">دبي: يجب تحديد مدة الإيجار (المادة 5 من القانون رقم 26 لسنة 2007).</w:t>
      </w:r>
      <w:r>
        <w:rPr>
          <w:rtl/>
        </w:rPr>
        <w:t xml:space="preserve"> [4]</w:t>
      </w:r>
    </w:p>
  </w:comment>
  <w:comment w:id="4" w:initials="Q" w:author="Qanu" w:date="2026-10-17T00:00:00.000Z">
    <w:p>
      <w:pPr>
        <w:bidi/>
      </w:pPr>
      <w:r>
        <w:rPr>
          <w:b/>
          <w:bCs/>
          <w:rtl/>
        </w:rPr>
        <w:t xml:space="preserve">ملاحظة صياغة</w:t>
      </w:r>
    </w:p>
    <w:p>
      <w:pPr>
        <w:bidi/>
      </w:pPr>
      <w:r>
        <w:rPr>
          <w:rtl/>
        </w:rPr>
        <w:t xml:space="preserve">• الرياض: توقِف الضوابط التي أعلنتها الهيئة العامة للعقار الزيادة في القيمة الإجمالية لأجرة العقارات السكنية والتجارية، القائمة منها والجديدة، داخل النطاق العمراني لمدينة الرياض لمدة خمس سنوات اعتباراً من 25 سبتمبر 2025.</w:t>
      </w:r>
      <w:r>
        <w:rPr>
          <w:rtl/>
        </w:rPr>
        <w:t xml:space="preserve"> [3]</w:t>
      </w:r>
    </w:p>
    <w:p>
      <w:pPr>
        <w:bidi/>
      </w:pPr>
      <w:r>
        <w:rPr>
          <w:rtl/>
        </w:rPr>
        <w:t xml:space="preserve">• دبي: تخضع زيادة الأجرة للقانون وللمرسوم رقم 43 لسنة 2013؛ فارجع إلى مؤشر الإيجارات الصادر عن دائرة الأراضي والأملاك بدلاً من الاعتماد على نسبة ثابتة.</w:t>
      </w:r>
      <w:r>
        <w:rPr>
          <w:rtl/>
        </w:rPr>
        <w:t xml:space="preserve"> [12][13]</w:t>
      </w:r>
    </w:p>
  </w:comment>
  <w:comment w:id="5" w:initials="Q" w:author="Qanu" w:date="2026-10-17T00:00:00.000Z">
    <w:p>
      <w:pPr>
        <w:bidi/>
      </w:pPr>
      <w:r>
        <w:rPr>
          <w:b/>
          <w:bCs/>
          <w:rtl/>
        </w:rPr>
        <w:t xml:space="preserve">ملاحظة صياغة</w:t>
      </w:r>
    </w:p>
    <w:p>
      <w:pPr>
        <w:bidi/>
      </w:pPr>
      <w:r>
        <w:rPr>
          <w:rtl/>
        </w:rPr>
        <w:t xml:space="preserve">• المملكة العربية السعودية: تُسجَّل عقود الإيجار في منصة إيجار.</w:t>
      </w:r>
      <w:r>
        <w:rPr>
          <w:rtl/>
        </w:rPr>
        <w:t xml:space="preserve"> [1]</w:t>
      </w:r>
      <w:r>
        <w:rPr>
          <w:rtl/>
        </w:rPr>
        <w:t xml:space="preserve"> وبموجب الضوابط التي أعلنتها الهيئة العامة للعقار يلتزم المؤجر بطلب تسجيل العقود غير المسجَّلة في المنصة، ويجوز للمستأجر أيضاً تقديم الطلب.</w:t>
      </w:r>
      <w:r>
        <w:rPr>
          <w:rtl/>
        </w:rPr>
        <w:t xml:space="preserve"> [3]</w:t>
      </w:r>
    </w:p>
    <w:p>
      <w:pPr>
        <w:bidi/>
      </w:pPr>
      <w:r>
        <w:rPr>
          <w:rtl/>
        </w:rPr>
        <w:t xml:space="preserve">• دبي: يجب تسجيل عقد الإيجار (المادة 4)، ويتعهد المؤجر في عقد الإيجار الموحد بتسجيل العقد في نظام إيجاري.</w:t>
      </w:r>
      <w:r>
        <w:rPr>
          <w:rtl/>
        </w:rPr>
        <w:t xml:space="preserve"> [4][12]</w:t>
      </w:r>
    </w:p>
    <w:p>
      <w:pPr>
        <w:bidi/>
      </w:pPr>
      <w:r>
        <w:rPr>
          <w:rtl/>
        </w:rPr>
        <w:t xml:space="preserve">• أبوظبي: نظام توثيق.</w:t>
      </w:r>
      <w:r>
        <w:rPr>
          <w:rtl/>
        </w:rPr>
        <w:t xml:space="preserve"> [7]</w:t>
      </w:r>
      <w:r>
        <w:rPr>
          <w:rtl/>
        </w:rPr>
        <w:t xml:space="preserve"> قطر: مكتب التسجيل المنشأ بموجب قانون الإيجار.</w:t>
      </w:r>
      <w:r>
        <w:rPr>
          <w:rtl/>
        </w:rPr>
        <w:t xml:space="preserve"> [8]</w:t>
      </w:r>
    </w:p>
    <w:p>
      <w:pPr>
        <w:bidi/>
      </w:pPr>
      <w:r>
        <w:rPr>
          <w:rtl/>
        </w:rPr>
        <w:t xml:space="preserve">• البحرين وعُمان: تتوفر خدمة إلكترونية للتسجيل،</w:t>
      </w:r>
      <w:r>
        <w:rPr>
          <w:rtl/>
        </w:rPr>
        <w:t xml:space="preserve"> [9][10]</w:t>
      </w:r>
      <w:r>
        <w:rPr>
          <w:rtl/>
        </w:rPr>
        <w:t xml:space="preserve"> ولم نتحقق مما إذا كان التسجيل إلزامياً.</w:t>
      </w:r>
    </w:p>
  </w:comment>
  <w:comment w:id="6" w:initials="Q" w:author="Qanu" w:date="2026-10-17T00:00:00.000Z">
    <w:p>
      <w:pPr>
        <w:bidi/>
      </w:pPr>
      <w:r>
        <w:rPr>
          <w:b/>
          <w:bCs/>
          <w:rtl/>
        </w:rPr>
        <w:t xml:space="preserve">ملاحظة صياغة</w:t>
      </w:r>
    </w:p>
    <w:p>
      <w:pPr>
        <w:bidi/>
      </w:pPr>
      <w:r>
        <w:rPr>
          <w:rtl/>
        </w:rPr>
        <w:t xml:space="preserve">أبوظبي: يلزم تسجيل العقد في نظام توثيق لتوصيل الخدمات.</w:t>
      </w:r>
      <w:r>
        <w:rPr>
          <w:rtl/>
        </w:rPr>
        <w:t xml:space="preserve"> [7]</w:t>
      </w:r>
    </w:p>
  </w:comment>
  <w:comment w:id="7" w:initials="Q" w:author="Qanu" w:date="2026-10-17T00:00:00.000Z">
    <w:p>
      <w:pPr>
        <w:bidi/>
      </w:pPr>
      <w:r>
        <w:rPr>
          <w:b/>
          <w:bCs/>
          <w:rtl/>
        </w:rPr>
        <w:t xml:space="preserve">ملاحظة صياغة</w:t>
      </w:r>
    </w:p>
    <w:p>
      <w:pPr>
        <w:bidi/>
      </w:pPr>
      <w:r>
        <w:rPr>
          <w:rtl/>
        </w:rPr>
        <w:t xml:space="preserve">وزّع أعمال الصيانة بوضوح؛ إذ تختلف القواعد المكمّلة من دولة إلى أخرى.</w:t>
      </w:r>
    </w:p>
  </w:comment>
  <w:comment w:id="8" w:initials="Q" w:author="Qanu" w:date="2026-10-17T00:00:00.000Z">
    <w:p>
      <w:pPr>
        <w:bidi/>
      </w:pPr>
      <w:r>
        <w:rPr>
          <w:b/>
          <w:bCs/>
          <w:rtl/>
        </w:rPr>
        <w:t xml:space="preserve">ملاحظة صياغة</w:t>
      </w:r>
    </w:p>
    <w:p>
      <w:pPr>
        <w:bidi/>
      </w:pPr>
      <w:r>
        <w:rPr>
          <w:rtl/>
        </w:rPr>
        <w:t xml:space="preserve">يتضمن عقد الإيجار الموحد في دبي شرطاً مماثلاً.</w:t>
      </w:r>
      <w:r>
        <w:rPr>
          <w:rtl/>
        </w:rPr>
        <w:t xml:space="preserve"> [12]</w:t>
      </w:r>
    </w:p>
  </w:comment>
  <w:comment w:id="9" w:initials="Q" w:author="Qanu" w:date="2026-10-17T00:00:00.000Z">
    <w:p>
      <w:pPr>
        <w:bidi/>
      </w:pPr>
      <w:r>
        <w:rPr>
          <w:b/>
          <w:bCs/>
          <w:rtl/>
        </w:rPr>
        <w:t xml:space="preserve">ملاحظة صياغة</w:t>
      </w:r>
    </w:p>
    <w:p>
      <w:pPr>
        <w:bidi/>
      </w:pPr>
      <w:r>
        <w:rPr>
          <w:rtl/>
        </w:rPr>
        <w:t xml:space="preserve">استخدم ملحق محضر الاستلام والتسليم في آخر النموذج، والتقط صوراً لكل غرفة.</w:t>
      </w:r>
    </w:p>
  </w:comment>
  <w:comment w:id="10" w:initials="Q" w:author="Qanu" w:date="2026-10-17T00:00:00.000Z">
    <w:p>
      <w:pPr>
        <w:bidi/>
      </w:pPr>
      <w:r>
        <w:rPr>
          <w:b/>
          <w:bCs/>
          <w:rtl/>
        </w:rPr>
        <w:t xml:space="preserve">ملاحظة صياغة</w:t>
      </w:r>
    </w:p>
    <w:p>
      <w:pPr>
        <w:bidi/>
      </w:pPr>
      <w:r>
        <w:rPr>
          <w:rtl/>
        </w:rPr>
        <w:t xml:space="preserve">• المملكة العربية السعودية: وفق الضوابط التي أعلنتها الهيئة العامة للعقار يتجدد العقد تلقائياً في جميع مدن المملكة ما لم يُخطر أحد الطرفين الآخر بعدم التجديد قبل انتهائه بستين يوماً على الأقل، مع استثناءات.</w:t>
      </w:r>
      <w:r>
        <w:rPr>
          <w:rtl/>
        </w:rPr>
        <w:t xml:space="preserve"> [3]</w:t>
      </w:r>
      <w:r>
        <w:rPr>
          <w:rtl/>
        </w:rPr>
        <w:t xml:space="preserve"> ويتناول نظام المعاملات المدنية استمرار الانتفاع بعد انتهاء المدة (المادة 440).</w:t>
      </w:r>
      <w:r>
        <w:rPr>
          <w:rtl/>
        </w:rPr>
        <w:t xml:space="preserve"> [11]</w:t>
      </w:r>
    </w:p>
    <w:p>
      <w:pPr>
        <w:bidi/>
      </w:pPr>
      <w:r>
        <w:rPr>
          <w:rtl/>
        </w:rPr>
        <w:t xml:space="preserve">• دبي: إخطار قبل انتهاء العقد بتسعين يوماً لتعديل شروطه أو عدم تجديده (المادة 14).</w:t>
      </w:r>
      <w:r>
        <w:rPr>
          <w:rtl/>
        </w:rPr>
        <w:t xml:space="preserve"> [4]</w:t>
      </w:r>
    </w:p>
  </w:comment>
  <w:comment w:id="11" w:initials="Q" w:author="Qanu" w:date="2026-10-17T00:00:00.000Z">
    <w:p>
      <w:pPr>
        <w:bidi/>
      </w:pPr>
      <w:r>
        <w:rPr>
          <w:b/>
          <w:bCs/>
          <w:rtl/>
        </w:rPr>
        <w:t xml:space="preserve">ملاحظة صياغة</w:t>
      </w:r>
    </w:p>
    <w:p>
      <w:pPr>
        <w:bidi/>
      </w:pPr>
      <w:r>
        <w:rPr>
          <w:rtl/>
        </w:rPr>
        <w:t xml:space="preserve">دبي: تحدد المادة (25) حالات الإخلاء.</w:t>
      </w:r>
      <w:r>
        <w:rPr>
          <w:rtl/>
        </w:rPr>
        <w:t xml:space="preserve"> [4]</w:t>
      </w:r>
      <w:r>
        <w:rPr>
          <w:rtl/>
        </w:rPr>
        <w:t xml:space="preserve"> المملكة العربية السعودية: لا ينتهي عقد الإيجار بوفاة أحد طرفيه (المادة 441 من نظام المعاملات المدنية).</w:t>
      </w:r>
      <w:r>
        <w:rPr>
          <w:rtl/>
        </w:rPr>
        <w:t xml:space="preserve"> [11]</w:t>
      </w:r>
    </w:p>
  </w:comment>
  <w:comment w:id="12" w:initials="Q" w:author="Qanu" w:date="2026-10-17T00:00:00.000Z">
    <w:p>
      <w:pPr>
        <w:bidi/>
      </w:pPr>
      <w:r>
        <w:rPr>
          <w:b/>
          <w:bCs/>
          <w:rtl/>
        </w:rPr>
        <w:t xml:space="preserve">ملاحظة صياغة</w:t>
      </w:r>
    </w:p>
    <w:p>
      <w:pPr>
        <w:bidi/>
      </w:pPr>
      <w:r>
        <w:rPr>
          <w:rtl/>
        </w:rPr>
        <w:t xml:space="preserve">• المملكة العربية السعودية: العقد الإلكتروني في منصة إيجار سند تنفيذي يُقدَّم مباشرة إلى محكمة التنفيذ.</w:t>
      </w:r>
      <w:r>
        <w:rPr>
          <w:rtl/>
        </w:rPr>
        <w:t xml:space="preserve"> [2]</w:t>
      </w:r>
    </w:p>
    <w:p>
      <w:pPr>
        <w:bidi/>
      </w:pPr>
      <w:r>
        <w:rPr>
          <w:rtl/>
        </w:rPr>
        <w:t xml:space="preserve">• دبي: لا تُقبل المنازعات المتعلقة بعقود إيجار غير مسجَّلة (المادة 4).</w:t>
      </w:r>
      <w:r>
        <w:rPr>
          <w:rtl/>
        </w:rPr>
        <w:t xml:space="preserve"> [4]</w:t>
      </w:r>
      <w:r>
        <w:rPr>
          <w:rtl/>
        </w:rPr>
        <w:t xml:space="preserve"> ويُحيل عقد الإيجار الموحد المنازعات إلى مركز فض المنازعات الإيجارية.</w:t>
      </w:r>
      <w:r>
        <w:rPr>
          <w:rtl/>
        </w:rPr>
        <w:t xml:space="preserve"> [12]</w:t>
      </w:r>
    </w:p>
  </w:comment>
  <w:comment w:id="13" w:initials="Q" w:author="Qanu" w:date="2026-10-17T00:00:00.000Z">
    <w:p>
      <w:pPr>
        <w:bidi/>
      </w:pPr>
      <w:r>
        <w:rPr>
          <w:b/>
          <w:bCs/>
          <w:rtl/>
        </w:rPr>
        <w:t xml:space="preserve">ملاحظة صياغة</w:t>
      </w:r>
    </w:p>
    <w:p>
      <w:pPr>
        <w:bidi/>
      </w:pPr>
      <w:r>
        <w:rPr>
          <w:rtl/>
        </w:rPr>
        <w:t xml:space="preserve">في عقد الإيجار الموحد في دبي يُعتمد النص العربي.</w:t>
      </w:r>
      <w:r>
        <w:rPr>
          <w:rtl/>
        </w:rPr>
        <w:t xml:space="preserve"> [12]</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41F74EDE-B168-033C-50A3-9F183200DCEB}"/>
    <w:embedBold r:id="rId2" w:fontKey="{0855D24F-B80E-D2D9-8DA5-09BFDE37104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17 أكتوبر 2026 – ‪https://www.qanu.ai/ar/نماذج/نموذج-عقد-إيجار‬</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17 أكتوبر 2026 – ‪https://www.qanu.ai/ar/نماذج/نموذج-عقد-إيجار‬</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gh-q068ntgycpke7v-lgf" Type="http://schemas.openxmlformats.org/officeDocument/2006/relationships/hyperlink" Target="https://www.qanu.ai/ar/%D9%85%D8%B3%D8%B1%D8%AF-%D9%82%D8%A7%D9%86%D9%88%D9%86%D9%8A/%D9%88%D9%83%D8%A7%D9%84%D8%A9" TargetMode="External"/><Relationship Id="rIdjc_qwjs0lvusinwagwegs" Type="http://schemas.openxmlformats.org/officeDocument/2006/relationships/hyperlink" Target="https://www.qanu.ai/ar/%D9%85%D8%B3%D8%B1%D8%AF-%D9%82%D8%A7%D9%86%D9%88%D9%86%D9%8A/%D9%83%D8%A7%D8%AA%D8%A8-%D8%A7%D9%84%D8%B9%D8%AF%D9%84" TargetMode="External"/><Relationship Id="rId8gixu39ypsr5syhom9l9z" Type="http://schemas.openxmlformats.org/officeDocument/2006/relationships/hyperlink" Target="https://www.qanu.ai/ar/%D9%85%D8%B3%D8%B1%D8%AF-%D9%82%D8%A7%D9%86%D9%88%D9%86%D9%8A/%D8%B3%D8%AC%D9%84-%D8%AA%D8%AC%D8%A7%D8%B1%D9%8A" TargetMode="External"/><Relationship Id="rId0qmm9ggeagbmbxjfdjqef" Type="http://schemas.openxmlformats.org/officeDocument/2006/relationships/hyperlink" Target="https://www.qanu.ai/ar/%D9%85%D8%B3%D8%B1%D8%AF-%D9%82%D8%A7%D9%86%D9%88%D9%86%D9%8A/%D8%A7%D9%84%D8%A8%D9%8A%D8%B9-%D8%B9%D9%84%D9%89-%D8%A7%D9%84%D8%AE%D8%A7%D8%B1%D8%B7%D8%A9"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6kcikubl5wqgcwt7ogwql" Type="http://schemas.openxmlformats.org/officeDocument/2006/relationships/hyperlink" Target="https://www.ejar.sa/ar/faqregulation" TargetMode="External"/><Relationship Id="rIdbqu2kymxqf5b8wsvzqzrp" Type="http://schemas.openxmlformats.org/officeDocument/2006/relationships/hyperlink" Target="https://dubailand.gov.ae/en/eservices/register-renew-ejari-contract/" TargetMode="External"/><Relationship Id="rIdtd-jo86rmeop4eu0z4rhr" Type="http://schemas.openxmlformats.org/officeDocument/2006/relationships/hyperlink" Target="https://dubailand.gov.ae/en/eservices/ejari-templates/download-unified-ejari-tenancy-contract" TargetMode="External"/><Relationship Id="rIdjfvg4vpcn2czl9rr8_pzs" Type="http://schemas.openxmlformats.org/officeDocument/2006/relationships/hyperlink" Target="https://www.tamm.abudhabi/en/articles/lease-registration-guidelines" TargetMode="External"/><Relationship Id="rId9coregypxthkx6nmdylw6" Type="http://schemas.openxmlformats.org/officeDocument/2006/relationships/hyperlink" Target="https://creativecommons.org/licenses/by/4.0/deed.ar" TargetMode="External"/><Relationship Id="rId1_b4k-4umtujr6jp0yxmw" Type="http://schemas.openxmlformats.org/officeDocument/2006/relationships/hyperlink" Target="https://www.ejar.sa/ar/faqregulation" TargetMode="External"/><Relationship Id="rIdiilo0njlohgexrp2_rhay" Type="http://schemas.openxmlformats.org/officeDocument/2006/relationships/hyperlink" Target="https://www.ejar.sa/en/service/355294" TargetMode="External"/><Relationship Id="rIdxgv6cra5wq9pi9oikr49t" Type="http://schemas.openxmlformats.org/officeDocument/2006/relationships/hyperlink" Target="https://rega.gov.sa/en/media-center/news-announcements/in-line-with-hrh-crown-prince-s-directive-to-take-several-measures-to-achieve-balance-in-the-real-estate-sector-in-riyadh-approval-has-been-issued-for-regulatory-provisions-aimed-at-regulating-the-relationship-between-landlords-and-tenants/" TargetMode="External"/><Relationship Id="rIdqb0z2gtiihpsa7t-rd7zh" Type="http://schemas.openxmlformats.org/officeDocument/2006/relationships/hyperlink" Target="https://dlp.dubai.gov.ae/Legislation%20Reference/2007/Law%20No.%20(26)%20of%202007.pdf" TargetMode="External"/><Relationship Id="rIdnrk3oo-7zj9uiknnp_ngx" Type="http://schemas.openxmlformats.org/officeDocument/2006/relationships/hyperlink" Target="https://dubailand.gov.ae/en/eservices/register-renew-ejari-contract/" TargetMode="External"/><Relationship Id="rIdkivrmw8yupa_btmjp2ybf" Type="http://schemas.openxmlformats.org/officeDocument/2006/relationships/hyperlink" Target="https://dubailand.gov.ae/en/eservices/ejari-templates/download-unified-ejari-tenancy-contract" TargetMode="External"/><Relationship Id="rIdfjexf79qkjfo_enclehj9" Type="http://schemas.openxmlformats.org/officeDocument/2006/relationships/hyperlink" Target="https://www.tamm.abudhabi/en/articles/lease-registration-guidelines" TargetMode="External"/><Relationship Id="rIdo4o7dfqqdzwutnwvmyr14" Type="http://schemas.openxmlformats.org/officeDocument/2006/relationships/hyperlink" Target="https://www.almeezan.qa/LawArticles.aspx?LawArticleID=75041&amp;language=ar&amp;lawId=3982" TargetMode="External"/><Relationship Id="rIdlsqc4l6nzxyenlshlkcb9" Type="http://schemas.openxmlformats.org/officeDocument/2006/relationships/hyperlink" Target="https://services.bahrain.bh/wps/portal/LeaseContractReg_ar" TargetMode="External"/><Relationship Id="rIdwuuio4-tospf1zasj_3zt" Type="http://schemas.openxmlformats.org/officeDocument/2006/relationships/hyperlink" Target="https://eservices.mm.gov.om/" TargetMode="External"/><Relationship Id="rIdw6ur9faqtmhqq_3pmgs-y" Type="http://schemas.openxmlformats.org/officeDocument/2006/relationships/hyperlink" Target="https://laws.moj.gov.sa/ar/legislation/PBbHmywh1XMp-Kyv3NtQLg" TargetMode="External"/><Relationship Id="rIddzclbxj9t-8tku9h6ptqb" Type="http://schemas.openxmlformats.org/officeDocument/2006/relationships/hyperlink" Target="https://dubailand.gov.ae/media/ivuhfjxa/ejari_unified_tenancy_contract.pdf" TargetMode="External"/><Relationship Id="rIdk-kqffntr04hrdsbih6bk" Type="http://schemas.openxmlformats.org/officeDocument/2006/relationships/hyperlink" Target="https://dubailand.gov.ae/en/eservices/rental-index/" TargetMode="External"/><Relationship Id="rIdg3bnqfry0xckjabdmrouc" Type="http://schemas.openxmlformats.org/officeDocument/2006/relationships/hyperlink" Target="https://adrec.gov.ae/en/rules_and_regulations/tenancy"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عقد إيجار سكني وقائمة تحقق قبل التسجيل</dc:title>
  <dc:creator>Qanu</dc:creator>
  <cp:keywords>عقد الإيجار, الإيجار السكني, دول الخليج</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17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2026-10-17T15:50:45.291Z</dcterms:created>
  <dcterms:modified xsi:type="dcterms:W3CDTF">2026-10-17T15:50:45.291Z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https://www.qanu.ai/ar/نماذج/نموذج-عقد-إيجار</vt:lpwstr>
  </property>
</Properties>
</file>