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Register on the official platform.</w:t>
      </w:r>
      <w:r>
        <w:rPr>
          <w:rtl w:val="false"/>
        </w:rPr>
        <w:t xml:space="preserve"> In Saudi Arabia, leases must be registered on </w:t>
      </w:r>
      <w:r>
        <w:rPr>
          <w:b/>
          <w:bCs/>
          <w:rtl w:val="false"/>
        </w:rPr>
        <w:t xml:space="preserve">Ejar</w:t>
      </w:r>
      <w:r>
        <w:rPr>
          <w:rtl w:val="false"/>
        </w:rPr>
        <w:t xml:space="preserve">. A lease that isn't registered does not produce administrative and judicial effects, and the Ejar contract is an enforceable instrument. In Dubai, use the DLD </w:t>
      </w:r>
      <w:r>
        <w:rPr>
          <w:b/>
          <w:bCs/>
          <w:rtl w:val="false"/>
        </w:rPr>
        <w:t xml:space="preserve">Unified Tenancy Contract</w:t>
      </w:r>
      <w:r>
        <w:rPr>
          <w:rtl w:val="false"/>
        </w:rPr>
        <w:t xml:space="preserve"> and register it on </w:t>
      </w:r>
      <w:r>
        <w:rPr>
          <w:b/>
          <w:bCs/>
          <w:rtl w:val="false"/>
        </w:rPr>
        <w:t xml:space="preserve">Ejari</w:t>
      </w:r>
      <w:r>
        <w:rPr>
          <w:rtl w:val="false"/>
        </w:rPr>
        <w:t xml:space="preserve">. In Abu Dhabi, register the lease on </w:t>
      </w:r>
      <w:r>
        <w:rPr>
          <w:b/>
          <w:bCs/>
          <w:rtl w:val="false"/>
        </w:rPr>
        <w:t xml:space="preserve">Tawtheeq</w:t>
      </w:r>
      <w:r>
        <w:rPr>
          <w:rtl w:val="false"/>
        </w:rPr>
        <w:t xml:space="preserve">. Use this template to agree terms and prepare the official registration. It does not replace it.</w:t>
      </w:r>
      <w:r>
        <w:rPr>
          <w:rtl w:val="false"/>
        </w:rPr>
        <w:t xml:space="preserve"> [1][2][3][4][5][6][7]</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Ejar: </w:t>
      </w:r>
      <w:hyperlink w:history="1" r:id="rIdfjxm7dgflz7xi5wbkwur3">
        <w:r>
          <w:rPr>
            <w:rStyle w:val="Hyperlink"/>
            <w:sz w:val="17"/>
            <w:szCs w:val="17"/>
          </w:rPr>
          <w:t xml:space="preserve">https://www.ejar.sa/en/service/355294</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Ejari – DLD: </w:t>
      </w:r>
      <w:hyperlink w:history="1" r:id="rIdrakjcewliktebr5htdinc">
        <w:r>
          <w:rPr>
            <w:rStyle w:val="Hyperlink"/>
            <w:sz w:val="17"/>
            <w:szCs w:val="17"/>
          </w:rPr>
          <w:t xml:space="preserve">https://dubailand.gov.ae/en/eservices/register-renew-ejari-contract/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Unified Tenancy Contract: </w:t>
      </w:r>
      <w:hyperlink w:history="1" r:id="rIdtnxivnev0gfy8v_rliudq">
        <w:r>
          <w:rPr>
            <w:rStyle w:val="Hyperlink"/>
            <w:sz w:val="17"/>
            <w:szCs w:val="17"/>
          </w:rPr>
          <w:t xml:space="preserve">https://dubailand.gov.ae/en/eservices/ejari-templates/download-unified-ejari-tenancy-contract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Tawtheeq – TAMM: </w:t>
      </w:r>
      <w:hyperlink w:history="1" r:id="rId4r9qh0zsglsqylgiqekb_">
        <w:r>
          <w:rPr>
            <w:rStyle w:val="Hyperlink"/>
            <w:sz w:val="17"/>
            <w:szCs w:val="17"/>
          </w:rPr>
          <w:t xml:space="preserve">https://www.tamm.abudhabi/en/articles/lease-registration-guidelines</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Qatar:</w:t>
      </w:r>
      <w:r>
        <w:rPr>
          <w:sz w:val="19"/>
          <w:szCs w:val="19"/>
          <w:rtl w:val="false"/>
        </w:rPr>
        <w:t xml:space="preserve"> leases are registered with the registration office set up under the Rent Law.</w:t>
      </w:r>
      <w:r>
        <w:rPr>
          <w:sz w:val="19"/>
          <w:szCs w:val="19"/>
          <w:rtl w:val="false"/>
        </w:rPr>
        <w:t xml:space="preserve"> [8]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w:t>
      </w:r>
      <w:r>
        <w:rPr>
          <w:sz w:val="19"/>
          <w:szCs w:val="19"/>
          <w:rtl w:val="false"/>
        </w:rPr>
        <w:t xml:space="preserve"> a lease-contract registration e-service is available.</w:t>
      </w:r>
      <w:r>
        <w:rPr>
          <w:sz w:val="19"/>
          <w:szCs w:val="19"/>
          <w:rtl w:val="false"/>
        </w:rPr>
        <w:t xml:space="preserve"> [9]</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Oman:</w:t>
      </w:r>
      <w:r>
        <w:rPr>
          <w:sz w:val="19"/>
          <w:szCs w:val="19"/>
          <w:rtl w:val="false"/>
        </w:rPr>
        <w:t xml:space="preserve"> Muscat Municipality offers lease-registration e-services.</w:t>
      </w:r>
      <w:r>
        <w:rPr>
          <w:sz w:val="19"/>
          <w:szCs w:val="19"/>
          <w:rtl w:val="false"/>
        </w:rPr>
        <w:t xml:space="preserve"> [10]</w:t>
      </w:r>
    </w:p>
    <w:p>
      <w:pPr>
        <w:bidi w:val="false"/>
        <w:spacing w:after="240"/>
      </w:pPr>
    </w:p>
    <w:p>
      <w:pPr>
        <w:pStyle w:val="Title"/>
        <w:bidi w:val="false"/>
      </w:pPr>
      <w:r>
        <w:rPr>
          <w:rtl w:val="false"/>
        </w:rPr>
        <w:t xml:space="preserve">Residential lease agreement</w:t>
      </w:r>
    </w:p>
    <w:p>
      <w:pPr>
        <w:bidi w:val="false"/>
        <w:spacing w:after="240"/>
      </w:pPr>
      <w:r>
        <w:rPr>
          <w:color w:val="444444"/>
          <w:rtl w:val="false"/>
        </w:rPr>
        <w:t xml:space="preserve">Term sheet and supplementary terms for a residential lease in the GCC. It helps the parties agree and record the terms before they create the official contract, and any lawful extra terms.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options that don't apply.</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Landlord: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ID/CR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represented by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(if an agent or broker, attach the authority). Tenant: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1"/>
      <w:r>
        <w:rPr>
          <w:rtl w:val="false"/>
        </w:rPr>
        <w:t xml:space="preserve">2. Property</w:t>
      </w:r>
      <w:commentRangeEnd w:id="1"/>
      <w:r>
        <w:rPr>
          <w:rtl w:val="false"/>
        </w:rPr>
        <w:commentReference w:id="1"/>
      </w:r>
    </w:p>
    <w:p>
      <w:pPr>
        <w:bidi w:val="false"/>
      </w:pPr>
      <w:r>
        <w:rPr>
          <w:highlight w:val="yellow"/>
          <w:rtl w:val="false"/>
        </w:rPr>
        <w:t xml:space="preserve">[</w:t>
      </w:r>
      <w:r>
        <w:rPr>
          <w:highlight w:val="yellow"/>
          <w:rtl w:val="false"/>
        </w:rPr>
        <w:t xml:space="preserve">Type: apartment/villa</w:t>
      </w:r>
      <w:r>
        <w:rPr>
          <w:highlight w:val="yellow"/>
          <w:rtl w:val="false"/>
        </w:rPr>
        <w:t xml:space="preserve">]</w:t>
      </w:r>
      <w:r>
        <w:rPr>
          <w:rtl w:val="false"/>
        </w:rPr>
        <w:t xml:space="preserve">, unit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building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address/national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title deed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area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m², furnishing </w:t>
      </w:r>
      <w:r>
        <w:rPr>
          <w:highlight w:val="yellow"/>
          <w:rtl w:val="false"/>
        </w:rPr>
        <w:t xml:space="preserve">[</w:t>
      </w:r>
      <w:r>
        <w:rPr>
          <w:highlight w:val="yellow"/>
          <w:rtl w:val="false"/>
        </w:rPr>
        <w:t xml:space="preserve">furnished/unfurnished</w:t>
      </w:r>
      <w:r>
        <w:rPr>
          <w:highlight w:val="yellow"/>
          <w:rtl w:val="false"/>
        </w:rPr>
        <w:t xml:space="preserve">]</w:t>
      </w:r>
      <w:r>
        <w:rPr>
          <w:rtl w:val="false"/>
        </w:rPr>
        <w:t xml:space="preserve">, parking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2"/>
      <w:r>
        <w:rPr>
          <w:rtl w:val="false"/>
        </w:rPr>
        <w:t xml:space="preserve">3. Use</w:t>
      </w:r>
      <w:commentRangeEnd w:id="2"/>
      <w:r>
        <w:rPr>
          <w:rtl w:val="false"/>
        </w:rPr>
        <w:commentReference w:id="2"/>
      </w:r>
    </w:p>
    <w:p>
      <w:pPr>
        <w:bidi w:val="false"/>
      </w:pPr>
      <w:r>
        <w:rPr>
          <w:rtl w:val="false"/>
        </w:rPr>
        <w:t xml:space="preserve">The property is leased for residential use by the Tenant and family members </w:t>
      </w:r>
      <w:r>
        <w:rPr>
          <w:highlight w:val="yellow"/>
          <w:rtl w:val="false"/>
        </w:rPr>
        <w:t xml:space="preserve">[</w:t>
      </w:r>
      <w:r>
        <w:rPr>
          <w:highlight w:val="yellow"/>
          <w:rtl w:val="false"/>
        </w:rPr>
        <w:t xml:space="preserve">names/number</w:t>
      </w:r>
      <w:r>
        <w:rPr>
          <w:highlight w:val="yellow"/>
          <w:rtl w:val="false"/>
        </w:rPr>
        <w:t xml:space="preserve">]</w:t>
      </w:r>
      <w:r>
        <w:rPr>
          <w:rtl w:val="false"/>
        </w:rPr>
        <w:t xml:space="preserve"> only.</w:t>
      </w:r>
    </w:p>
    <w:p>
      <w:pPr>
        <w:pStyle w:val="Heading1"/>
        <w:bidi w:val="false"/>
      </w:pPr>
      <w:commentRangeStart w:id="3"/>
      <w:r>
        <w:rPr>
          <w:rtl w:val="false"/>
        </w:rPr>
        <w:t xml:space="preserve">4. Term</w:t>
      </w:r>
      <w:commentRangeEnd w:id="3"/>
      <w:r>
        <w:rPr>
          <w:rtl w:val="false"/>
        </w:rPr>
        <w:commentReference w:id="3"/>
      </w:r>
    </w:p>
    <w:p>
      <w:pPr>
        <w:bidi w:val="false"/>
      </w:pP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months/years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to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pStyle w:val="Heading1"/>
        <w:bidi w:val="false"/>
      </w:pPr>
      <w:commentRangeStart w:id="4"/>
      <w:r>
        <w:rPr>
          <w:rtl w:val="false"/>
        </w:rPr>
        <w:t xml:space="preserve">5. Rent and payment</w:t>
      </w:r>
      <w:commentRangeEnd w:id="4"/>
      <w:r>
        <w:rPr>
          <w:rtl w:val="false"/>
        </w:rPr>
        <w:commentReference w:id="4"/>
      </w:r>
    </w:p>
    <w:p>
      <w:pPr>
        <w:bidi w:val="false"/>
      </w:pPr>
      <w:r>
        <w:rPr>
          <w:rtl w:val="false"/>
        </w:rPr>
        <w:t xml:space="preserve">Annual rent </w:t>
      </w: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payable 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instalments on </w:t>
      </w:r>
      <w:r>
        <w:rPr>
          <w:highlight w:val="yellow"/>
          <w:rtl w:val="false"/>
        </w:rPr>
        <w:t xml:space="preserve">[</w:t>
      </w:r>
      <w:r>
        <w:rPr>
          <w:highlight w:val="yellow"/>
          <w:rtl w:val="false"/>
        </w:rPr>
        <w:t xml:space="preserve">dates</w:t>
      </w:r>
      <w:r>
        <w:rPr>
          <w:highlight w:val="yellow"/>
          <w:rtl w:val="false"/>
        </w:rPr>
        <w:t xml:space="preserve">]</w:t>
      </w:r>
      <w:r>
        <w:rPr>
          <w:rtl w:val="false"/>
        </w:rPr>
        <w:t xml:space="preserve"> by </w:t>
      </w:r>
      <w:r>
        <w:rPr>
          <w:highlight w:val="yellow"/>
          <w:rtl w:val="false"/>
        </w:rPr>
        <w:t xml:space="preserve">[</w:t>
      </w:r>
      <w:r>
        <w:rPr>
          <w:highlight w:val="yellow"/>
          <w:rtl w:val="false"/>
        </w:rPr>
        <w:t xml:space="preserve">method</w:t>
      </w:r>
      <w:r>
        <w:rPr>
          <w:highlight w:val="yellow"/>
          <w:rtl w:val="false"/>
        </w:rPr>
        <w:t xml:space="preserve">]</w:t>
      </w:r>
      <w:r>
        <w:rPr>
          <w:rtl w:val="false"/>
        </w:rPr>
        <w:t xml:space="preserve">.</w:t>
      </w:r>
    </w:p>
    <w:p>
      <w:pPr>
        <w:pStyle w:val="Heading1"/>
        <w:bidi w:val="false"/>
      </w:pPr>
      <w:r>
        <w:rPr>
          <w:rtl w:val="false"/>
        </w:rPr>
        <w:t xml:space="preserve">6. Security deposit</w:t>
      </w:r>
    </w:p>
    <w:p>
      <w:pPr>
        <w:bidi w:val="false"/>
      </w:pP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refundable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after handover, less documented amounts due.</w:t>
      </w:r>
    </w:p>
    <w:p>
      <w:pPr>
        <w:pStyle w:val="Heading1"/>
        <w:bidi w:val="false"/>
      </w:pPr>
      <w:commentRangeStart w:id="5"/>
      <w:r>
        <w:rPr>
          <w:rtl w:val="false"/>
        </w:rPr>
        <w:t xml:space="preserve">7. Registration</w:t>
      </w:r>
      <w:commentRangeEnd w:id="5"/>
      <w:r>
        <w:rPr>
          <w:rtl w:val="false"/>
        </w:rPr>
        <w:commentReference w:id="5"/>
      </w:r>
    </w:p>
    <w:p>
      <w:pPr>
        <w:bidi w:val="false"/>
      </w:pPr>
      <w:r>
        <w:rPr>
          <w:rtl w:val="false"/>
        </w:rPr>
        <w:t xml:space="preserve">The Landlord shall register this lease on </w:t>
      </w:r>
      <w:r>
        <w:rPr>
          <w:highlight w:val="yellow"/>
          <w:rtl w:val="false"/>
        </w:rPr>
        <w:t xml:space="preserve">[</w:t>
      </w:r>
      <w:r>
        <w:rPr>
          <w:highlight w:val="yellow"/>
          <w:rtl w:val="false"/>
        </w:rPr>
        <w:t xml:space="preserve">Ejar / Ejari / Tawtheeq / the competent registration office</w:t>
      </w:r>
      <w:r>
        <w:rPr>
          <w:highlight w:val="yellow"/>
          <w:rtl w:val="false"/>
        </w:rPr>
        <w:t xml:space="preserve">]</w:t>
      </w:r>
      <w:r>
        <w:rPr>
          <w:rtl w:val="false"/>
        </w:rPr>
        <w:t xml:space="preserve">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signing and give the Tenant a copy of the registration certificate.</w:t>
      </w:r>
    </w:p>
    <w:p>
      <w:pPr>
        <w:pStyle w:val="Heading1"/>
        <w:bidi w:val="false"/>
      </w:pPr>
      <w:commentRangeStart w:id="6"/>
      <w:r>
        <w:rPr>
          <w:rtl w:val="false"/>
        </w:rPr>
        <w:t xml:space="preserve">8. Utilities and charges</w:t>
      </w:r>
      <w:commentRangeEnd w:id="6"/>
      <w:r>
        <w:rPr>
          <w:rtl w:val="false"/>
        </w:rPr>
        <w:commentReference w:id="6"/>
      </w:r>
    </w:p>
    <w:p>
      <w:pPr>
        <w:bidi w:val="false"/>
      </w:pPr>
      <w:r>
        <w:rPr>
          <w:highlight w:val="yellow"/>
          <w:rtl w:val="false"/>
        </w:rPr>
        <w:t xml:space="preserve">[</w:t>
      </w:r>
      <w:r>
        <w:rPr>
          <w:highlight w:val="yellow"/>
          <w:rtl w:val="false"/>
        </w:rPr>
        <w:t xml:space="preserve">Electricity/water/cooling/internet/service charges</w:t>
      </w:r>
      <w:r>
        <w:rPr>
          <w:highlight w:val="yellow"/>
          <w:rtl w:val="false"/>
        </w:rPr>
        <w:t xml:space="preserve">]</w:t>
      </w:r>
      <w:r>
        <w:rPr>
          <w:rtl w:val="false"/>
        </w:rPr>
        <w:t xml:space="preserve"> are paid by </w:t>
      </w:r>
      <w:r>
        <w:rPr>
          <w:highlight w:val="yellow"/>
          <w:rtl w:val="false"/>
        </w:rPr>
        <w:t xml:space="preserve">[</w:t>
      </w:r>
      <w:r>
        <w:rPr>
          <w:highlight w:val="yellow"/>
          <w:rtl w:val="false"/>
        </w:rPr>
        <w:t xml:space="preserve">party</w:t>
      </w:r>
      <w:r>
        <w:rPr>
          <w:highlight w:val="yellow"/>
          <w:rtl w:val="false"/>
        </w:rPr>
        <w:t xml:space="preserve">]</w:t>
      </w:r>
      <w:r>
        <w:rPr>
          <w:rtl w:val="false"/>
        </w:rPr>
        <w:t xml:space="preserve">.</w:t>
      </w:r>
    </w:p>
    <w:p>
      <w:pPr>
        <w:pStyle w:val="Heading1"/>
        <w:bidi w:val="false"/>
      </w:pPr>
      <w:commentRangeStart w:id="7"/>
      <w:r>
        <w:rPr>
          <w:rtl w:val="false"/>
        </w:rPr>
        <w:t xml:space="preserve">9. Maintenance</w:t>
      </w:r>
      <w:commentRangeEnd w:id="7"/>
      <w:r>
        <w:rPr>
          <w:rtl w:val="false"/>
        </w:rPr>
        <w:commentReference w:id="7"/>
      </w:r>
    </w:p>
    <w:p>
      <w:pPr>
        <w:bidi w:val="false"/>
      </w:pPr>
      <w:r>
        <w:rPr>
          <w:rtl w:val="false"/>
        </w:rPr>
        <w:t xml:space="preserve">The Landlord handles </w:t>
      </w:r>
      <w:r>
        <w:rPr>
          <w:highlight w:val="yellow"/>
          <w:rtl w:val="false"/>
        </w:rPr>
        <w:t xml:space="preserve">[</w:t>
      </w:r>
      <w:r>
        <w:rPr>
          <w:highlight w:val="yellow"/>
          <w:rtl w:val="false"/>
        </w:rPr>
        <w:t xml:space="preserve">structural/major</w:t>
      </w:r>
      <w:r>
        <w:rPr>
          <w:highlight w:val="yellow"/>
          <w:rtl w:val="false"/>
        </w:rPr>
        <w:t xml:space="preserve">]</w:t>
      </w:r>
      <w:r>
        <w:rPr>
          <w:rtl w:val="false"/>
        </w:rPr>
        <w:t xml:space="preserve"> repairs and the Tenant handles </w:t>
      </w:r>
      <w:r>
        <w:rPr>
          <w:highlight w:val="yellow"/>
          <w:rtl w:val="false"/>
        </w:rPr>
        <w:t xml:space="preserve">[</w:t>
      </w:r>
      <w:r>
        <w:rPr>
          <w:highlight w:val="yellow"/>
          <w:rtl w:val="false"/>
        </w:rPr>
        <w:t xml:space="preserve">minor/routine</w:t>
      </w:r>
      <w:r>
        <w:rPr>
          <w:highlight w:val="yellow"/>
          <w:rtl w:val="false"/>
        </w:rPr>
        <w:t xml:space="preserve">]</w:t>
      </w:r>
      <w:r>
        <w:rPr>
          <w:rtl w:val="false"/>
        </w:rPr>
        <w:t xml:space="preserve"> repairs, as listed in the schedule.</w:t>
      </w:r>
    </w:p>
    <w:p>
      <w:pPr>
        <w:pStyle w:val="Heading1"/>
        <w:bidi w:val="false"/>
      </w:pPr>
      <w:commentRangeStart w:id="8"/>
      <w:r>
        <w:rPr>
          <w:rtl w:val="false"/>
        </w:rPr>
        <w:t xml:space="preserve">10. Alterations and subletting</w:t>
      </w:r>
      <w:commentRangeEnd w:id="8"/>
      <w:r>
        <w:rPr>
          <w:rtl w:val="false"/>
        </w:rPr>
        <w:commentReference w:id="8"/>
      </w:r>
    </w:p>
    <w:p>
      <w:pPr>
        <w:bidi w:val="false"/>
      </w:pPr>
      <w:r>
        <w:rPr>
          <w:rtl w:val="false"/>
        </w:rPr>
        <w:t xml:space="preserve">The Tenant shall not alter the property or sublet or assign it without the Landlord's prior written consent.</w:t>
      </w:r>
    </w:p>
    <w:p>
      <w:pPr>
        <w:pStyle w:val="Heading1"/>
        <w:bidi w:val="false"/>
      </w:pPr>
      <w:commentRangeStart w:id="9"/>
      <w:r>
        <w:rPr>
          <w:rtl w:val="false"/>
        </w:rPr>
        <w:t xml:space="preserve">11. Handover and inventory</w:t>
      </w:r>
      <w:commentRangeEnd w:id="9"/>
      <w:r>
        <w:rPr>
          <w:rtl w:val="false"/>
        </w:rPr>
        <w:commentReference w:id="9"/>
      </w:r>
    </w:p>
    <w:p>
      <w:pPr>
        <w:bidi w:val="false"/>
      </w:pPr>
      <w:r>
        <w:rPr>
          <w:rtl w:val="false"/>
        </w:rPr>
        <w:t xml:space="preserve">The parties sign a handover report and inventory at the start and at the end of the lease (annex).</w:t>
      </w:r>
    </w:p>
    <w:p>
      <w:pPr>
        <w:pStyle w:val="Heading1"/>
        <w:bidi w:val="false"/>
      </w:pPr>
      <w:commentRangeStart w:id="10"/>
      <w:r>
        <w:rPr>
          <w:rtl w:val="false"/>
        </w:rPr>
        <w:t xml:space="preserve">12. Renewal, non-renewal and rent change</w:t>
      </w:r>
      <w:commentRangeEnd w:id="10"/>
      <w:r>
        <w:rPr>
          <w:rtl w:val="false"/>
        </w:rPr>
        <w:commentReference w:id="10"/>
      </w:r>
    </w:p>
    <w:p>
      <w:pPr>
        <w:bidi w:val="false"/>
      </w:pPr>
      <w:r>
        <w:rPr>
          <w:rtl w:val="false"/>
        </w:rPr>
        <w:t xml:space="preserve">A party who doesn't want to renew, or wants to change the terms, notifies the other in writing at least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before expiry.</w:t>
      </w:r>
    </w:p>
    <w:p>
      <w:pPr>
        <w:pStyle w:val="Heading1"/>
        <w:bidi w:val="false"/>
      </w:pPr>
      <w:commentRangeStart w:id="11"/>
      <w:r>
        <w:rPr>
          <w:rtl w:val="false"/>
        </w:rPr>
        <w:t xml:space="preserve">13. Termination and eviction</w:t>
      </w:r>
      <w:commentRangeEnd w:id="11"/>
      <w:r>
        <w:rPr>
          <w:rtl w:val="false"/>
        </w:rPr>
        <w:commentReference w:id="11"/>
      </w:r>
    </w:p>
    <w:p>
      <w:pPr>
        <w:bidi w:val="false"/>
      </w:pPr>
      <w:r>
        <w:rPr>
          <w:rtl w:val="false"/>
        </w:rPr>
        <w:t xml:space="preserve">The lease may end early only in the cases set by the applicable law or as agreed here: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14. Notices</w:t>
      </w:r>
    </w:p>
    <w:p>
      <w:pPr>
        <w:bidi w:val="false"/>
      </w:pPr>
      <w:r>
        <w:rPr>
          <w:rtl w:val="false"/>
        </w:rPr>
        <w:t xml:space="preserve">Notices go to the addresses/emails above, or through the official platform.</w:t>
      </w:r>
    </w:p>
    <w:p>
      <w:pPr>
        <w:pStyle w:val="Heading1"/>
        <w:bidi w:val="false"/>
      </w:pPr>
      <w:commentRangeStart w:id="12"/>
      <w:r>
        <w:rPr>
          <w:rtl w:val="false"/>
        </w:rPr>
        <w:t xml:space="preserve">15. Governing law and disputes</w:t>
      </w:r>
      <w:commentRangeEnd w:id="12"/>
      <w:r>
        <w:rPr>
          <w:rtl w:val="false"/>
        </w:rPr>
        <w:commentReference w:id="12"/>
      </w:r>
    </w:p>
    <w:p>
      <w:pPr>
        <w:bidi w:val="false"/>
      </w:pPr>
      <w:r>
        <w:rPr>
          <w:rtl w:val="false"/>
        </w:rPr>
        <w:t xml:space="preserve">Governed by the laws of </w:t>
      </w:r>
      <w:r>
        <w:rPr>
          <w:highlight w:val="yellow"/>
          <w:rtl w:val="false"/>
        </w:rPr>
        <w:t xml:space="preserve">[</w:t>
      </w:r>
      <w:r>
        <w:rPr>
          <w:highlight w:val="yellow"/>
          <w:rtl w:val="false"/>
        </w:rPr>
        <w:t xml:space="preserve">country/emirate</w:t>
      </w:r>
      <w:r>
        <w:rPr>
          <w:highlight w:val="yellow"/>
          <w:rtl w:val="false"/>
        </w:rPr>
        <w:t xml:space="preserve">]</w:t>
      </w:r>
      <w:r>
        <w:rPr>
          <w:rtl w:val="false"/>
        </w:rPr>
        <w:t xml:space="preserve">; disputes go to the competent authority.</w:t>
      </w:r>
    </w:p>
    <w:p>
      <w:pPr>
        <w:pStyle w:val="Heading1"/>
        <w:bidi w:val="false"/>
      </w:pPr>
      <w:commentRangeStart w:id="13"/>
      <w:r>
        <w:rPr>
          <w:rtl w:val="false"/>
        </w:rPr>
        <w:t xml:space="preserve">16. Language and signatures</w:t>
      </w:r>
      <w:commentRangeEnd w:id="13"/>
      <w:r>
        <w:rPr>
          <w:rtl w:val="false"/>
        </w:rPr>
        <w:commentReference w:id="13"/>
      </w:r>
    </w:p>
    <w:p>
      <w:pPr>
        <w:bidi w:val="false"/>
      </w:pPr>
      <w:r>
        <w:rPr>
          <w:rtl w:val="false"/>
        </w:rPr>
        <w:t xml:space="preserve">Arabic and English, with Arabic prevailing; signed 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copies.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Landlord:</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Tenant:</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Schedule A – Saudi Arabia (Ejar)</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Rule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Registration</w:t>
            </w:r>
          </w:p>
        </w:tc>
        <w:tc>
          <w:tcPr>
            <w:tcMar>
              <w:top w:type="dxa" w:w="80"/>
              <w:left w:type="dxa" w:w="100"/>
              <w:bottom w:type="dxa" w:w="80"/>
              <w:right w:type="dxa" w:w="100"/>
            </w:tcMar>
          </w:tcPr>
          <w:p>
            <w:pPr>
              <w:bidi w:val="false"/>
              <w:spacing w:after="0"/>
            </w:pPr>
            <w:r>
              <w:rPr>
                <w:b w:val="false"/>
                <w:sz w:val="18"/>
                <w:szCs w:val="18"/>
                <w:rtl w:val="false"/>
              </w:rPr>
              <w:t xml:space="preserve">Ejar is the official reference for registering residential and commercial leases. Under Cabinet Decision No. 292 of 16/5/1438H, a lease not registered on Ejar is not considered a valid contract producing administrative and judicial effects.</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Enforcement</w:t>
            </w:r>
          </w:p>
        </w:tc>
        <w:tc>
          <w:tcPr>
            <w:tcMar>
              <w:top w:type="dxa" w:w="80"/>
              <w:left w:type="dxa" w:w="100"/>
              <w:bottom w:type="dxa" w:w="80"/>
              <w:right w:type="dxa" w:w="100"/>
            </w:tcMar>
          </w:tcPr>
          <w:p>
            <w:pPr>
              <w:bidi w:val="false"/>
              <w:spacing w:after="0"/>
            </w:pPr>
            <w:r>
              <w:rPr>
                <w:b w:val="false"/>
                <w:sz w:val="18"/>
                <w:szCs w:val="18"/>
                <w:rtl w:val="false"/>
              </w:rPr>
              <w:t xml:space="preserve">The Ejar electronic contract is an enforceable instrument and can be filed directly with the enforcement court.</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Unregistered leases</w:t>
            </w:r>
          </w:p>
        </w:tc>
        <w:tc>
          <w:tcPr>
            <w:tcMar>
              <w:top w:type="dxa" w:w="80"/>
              <w:left w:type="dxa" w:w="100"/>
              <w:bottom w:type="dxa" w:w="80"/>
              <w:right w:type="dxa" w:w="100"/>
            </w:tcMar>
          </w:tcPr>
          <w:p>
            <w:pPr>
              <w:bidi w:val="false"/>
              <w:spacing w:after="0"/>
            </w:pPr>
            <w:r>
              <w:rPr>
                <w:b w:val="false"/>
                <w:sz w:val="18"/>
                <w:szCs w:val="18"/>
                <w:rtl w:val="false"/>
              </w:rPr>
              <w:t xml:space="preserve">Landlords must apply to register leases not registered on Ejar, and tenants may also apply. The other party may object before REGA within 60 days.</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Automatic renewal</w:t>
            </w:r>
          </w:p>
        </w:tc>
        <w:tc>
          <w:tcPr>
            <w:tcMar>
              <w:top w:type="dxa" w:w="80"/>
              <w:left w:type="dxa" w:w="100"/>
              <w:bottom w:type="dxa" w:w="80"/>
              <w:right w:type="dxa" w:w="100"/>
            </w:tcMar>
          </w:tcPr>
          <w:p>
            <w:pPr>
              <w:bidi w:val="false"/>
              <w:spacing w:after="0"/>
            </w:pPr>
            <w:r>
              <w:rPr>
                <w:b w:val="false"/>
                <w:sz w:val="18"/>
                <w:szCs w:val="18"/>
                <w:rtl w:val="false"/>
              </w:rPr>
              <w:t xml:space="preserve">In all cities of the Kingdom, leases renew automatically unless notice of non-renewal is given at least 60 days before expiry, subject to exceptions.</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Riyadh rent freeze</w:t>
            </w:r>
          </w:p>
        </w:tc>
        <w:tc>
          <w:tcPr>
            <w:tcMar>
              <w:top w:type="dxa" w:w="80"/>
              <w:left w:type="dxa" w:w="100"/>
              <w:bottom w:type="dxa" w:w="80"/>
              <w:right w:type="dxa" w:w="100"/>
            </w:tcMar>
          </w:tcPr>
          <w:p>
            <w:pPr>
              <w:bidi w:val="false"/>
              <w:spacing w:after="0"/>
            </w:pPr>
            <w:r>
              <w:rPr>
                <w:b w:val="false"/>
                <w:sz w:val="18"/>
                <w:szCs w:val="18"/>
                <w:rtl w:val="false"/>
              </w:rPr>
              <w:t xml:space="preserve">A five-year suspension of increases in the total rental value of residential and commercial leases, existing or new, within Riyadh's urban boundaries, from 25 September 2025.</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Penalties</w:t>
            </w:r>
          </w:p>
        </w:tc>
        <w:tc>
          <w:tcPr>
            <w:tcMar>
              <w:top w:type="dxa" w:w="80"/>
              <w:left w:type="dxa" w:w="100"/>
              <w:bottom w:type="dxa" w:w="80"/>
              <w:right w:type="dxa" w:w="100"/>
            </w:tcMar>
          </w:tcPr>
          <w:p>
            <w:pPr>
              <w:bidi w:val="false"/>
              <w:spacing w:after="0"/>
            </w:pPr>
            <w:r>
              <w:rPr>
                <w:b w:val="false"/>
                <w:sz w:val="18"/>
                <w:szCs w:val="18"/>
                <w:rtl w:val="false"/>
              </w:rPr>
              <w:t xml:space="preserve">Breaches of the provisions can be fined up to the value of 12 months' rent.</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Civil Transactions Law</w:t>
            </w:r>
          </w:p>
        </w:tc>
        <w:tc>
          <w:tcPr>
            <w:tcMar>
              <w:top w:type="dxa" w:w="80"/>
              <w:left w:type="dxa" w:w="100"/>
              <w:bottom w:type="dxa" w:w="80"/>
              <w:right w:type="dxa" w:w="100"/>
            </w:tcMar>
          </w:tcPr>
          <w:p>
            <w:pPr>
              <w:bidi w:val="false"/>
              <w:spacing w:after="0"/>
            </w:pPr>
            <w:r>
              <w:rPr>
                <w:b w:val="false"/>
                <w:sz w:val="18"/>
                <w:szCs w:val="18"/>
                <w:rtl w:val="false"/>
              </w:rPr>
              <w:t xml:space="preserve">Defines the lease (Art. 407), deals with continued use after expiry (Art. 440), and provides that a lease does not end on the death of a party (Art. 441).</w:t>
            </w:r>
            <w:r>
              <w:rPr>
                <w:b w:val="false"/>
                <w:sz w:val="18"/>
                <w:szCs w:val="18"/>
                <w:rtl w:val="false"/>
              </w:rPr>
              <w:t xml:space="preserve"> [11]</w:t>
            </w:r>
          </w:p>
        </w:tc>
      </w:tr>
    </w:tbl>
    <w:p>
      <w:pPr>
        <w:bidi w:val="false"/>
      </w:pPr>
    </w:p>
    <w:p>
      <w:pPr>
        <w:pStyle w:val="Heading1"/>
        <w:pageBreakBefore/>
        <w:bidi w:val="false"/>
      </w:pPr>
      <w:r>
        <w:rPr>
          <w:rtl w:val="false"/>
        </w:rPr>
        <w:t xml:space="preserve">Schedule B – UAE (Dubai Ejari, Abu Dhabi Tawtheeq)</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Rule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registration</w:t>
            </w:r>
          </w:p>
        </w:tc>
        <w:tc>
          <w:tcPr>
            <w:tcMar>
              <w:top w:type="dxa" w:w="80"/>
              <w:left w:type="dxa" w:w="100"/>
              <w:bottom w:type="dxa" w:w="80"/>
              <w:right w:type="dxa" w:w="100"/>
            </w:tcMar>
          </w:tcPr>
          <w:p>
            <w:pPr>
              <w:bidi w:val="false"/>
              <w:spacing w:after="0"/>
            </w:pPr>
            <w:r>
              <w:rPr>
                <w:b w:val="false"/>
                <w:sz w:val="18"/>
                <w:szCs w:val="18"/>
                <w:rtl w:val="false"/>
              </w:rPr>
              <w:t xml:space="preserve">Leases must be written and registered with RERA; disputes over unregistered leases are not heard (Law No. 26 of 2007, Art. 4). Registration is through Ejari.</w:t>
            </w:r>
            <w:r>
              <w:rPr>
                <w:b w:val="false"/>
                <w:sz w:val="18"/>
                <w:szCs w:val="18"/>
                <w:rtl w:val="false"/>
              </w:rPr>
              <w:t xml:space="preserve"> [4][5]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term and renewal</w:t>
            </w:r>
          </w:p>
        </w:tc>
        <w:tc>
          <w:tcPr>
            <w:tcMar>
              <w:top w:type="dxa" w:w="80"/>
              <w:left w:type="dxa" w:w="100"/>
              <w:bottom w:type="dxa" w:w="80"/>
              <w:right w:type="dxa" w:w="100"/>
            </w:tcMar>
          </w:tcPr>
          <w:p>
            <w:pPr>
              <w:bidi w:val="false"/>
              <w:spacing w:after="0"/>
            </w:pPr>
            <w:r>
              <w:rPr>
                <w:b w:val="false"/>
                <w:sz w:val="18"/>
                <w:szCs w:val="18"/>
                <w:rtl w:val="false"/>
              </w:rPr>
              <w:t xml:space="preserve">The term must be specified (Art. 5); renewal is covered by Art. 6.</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notice</w:t>
            </w:r>
          </w:p>
        </w:tc>
        <w:tc>
          <w:tcPr>
            <w:tcMar>
              <w:top w:type="dxa" w:w="80"/>
              <w:left w:type="dxa" w:w="100"/>
              <w:bottom w:type="dxa" w:w="80"/>
              <w:right w:type="dxa" w:w="100"/>
            </w:tcMar>
          </w:tcPr>
          <w:p>
            <w:pPr>
              <w:bidi w:val="false"/>
              <w:spacing w:after="0"/>
            </w:pPr>
            <w:r>
              <w:rPr>
                <w:b w:val="false"/>
                <w:sz w:val="18"/>
                <w:szCs w:val="18"/>
                <w:rtl w:val="false"/>
              </w:rPr>
              <w:t xml:space="preserve">90 days' notice before expiry to amend the terms or not renew (Art. 14).</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eviction</w:t>
            </w:r>
          </w:p>
        </w:tc>
        <w:tc>
          <w:tcPr>
            <w:tcMar>
              <w:top w:type="dxa" w:w="80"/>
              <w:left w:type="dxa" w:w="100"/>
              <w:bottom w:type="dxa" w:w="80"/>
              <w:right w:type="dxa" w:w="100"/>
            </w:tcMar>
          </w:tcPr>
          <w:p>
            <w:pPr>
              <w:bidi w:val="false"/>
              <w:spacing w:after="0"/>
            </w:pPr>
            <w:r>
              <w:rPr>
                <w:b w:val="false"/>
                <w:sz w:val="18"/>
                <w:szCs w:val="18"/>
                <w:rtl w:val="false"/>
              </w:rPr>
              <w:t xml:space="preserve">The eviction cases are set out in Art. 25.</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rent increases</w:t>
            </w:r>
          </w:p>
        </w:tc>
        <w:tc>
          <w:tcPr>
            <w:tcMar>
              <w:top w:type="dxa" w:w="80"/>
              <w:left w:type="dxa" w:w="100"/>
              <w:bottom w:type="dxa" w:w="80"/>
              <w:right w:type="dxa" w:w="100"/>
            </w:tcMar>
          </w:tcPr>
          <w:p>
            <w:pPr>
              <w:bidi w:val="false"/>
              <w:spacing w:after="0"/>
            </w:pPr>
            <w:r>
              <w:rPr>
                <w:b w:val="false"/>
                <w:sz w:val="18"/>
                <w:szCs w:val="18"/>
                <w:rtl w:val="false"/>
              </w:rPr>
              <w:t xml:space="preserve">Governed by the law and Decree No. 43 of 2013; check the DLD rental index.</w:t>
            </w:r>
            <w:r>
              <w:rPr>
                <w:b w:val="false"/>
                <w:sz w:val="18"/>
                <w:szCs w:val="18"/>
                <w:rtl w:val="false"/>
              </w:rPr>
              <w:t xml:space="preserve"> [12][13]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Unified Tenancy Contract</w:t>
            </w:r>
          </w:p>
        </w:tc>
        <w:tc>
          <w:tcPr>
            <w:tcMar>
              <w:top w:type="dxa" w:w="80"/>
              <w:left w:type="dxa" w:w="100"/>
              <w:bottom w:type="dxa" w:w="80"/>
              <w:right w:type="dxa" w:w="100"/>
            </w:tcMar>
          </w:tcPr>
          <w:p>
            <w:pPr>
              <w:bidi w:val="false"/>
              <w:spacing w:after="0"/>
            </w:pPr>
            <w:r>
              <w:rPr>
                <w:b w:val="false"/>
                <w:sz w:val="18"/>
                <w:szCs w:val="18"/>
                <w:rtl w:val="false"/>
              </w:rPr>
              <w:t xml:space="preserve">The Arabic text prevails; the landlord undertakes to register the lease on Ejari; the tenant may not sublet or assign without the landlord's written approval.</w:t>
            </w:r>
            <w:r>
              <w:rPr>
                <w:b w:val="false"/>
                <w:sz w:val="18"/>
                <w:szCs w:val="18"/>
                <w:rtl w:val="false"/>
              </w:rPr>
              <w:t xml:space="preserve"> [6][12]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representatives</w:t>
            </w:r>
          </w:p>
        </w:tc>
        <w:tc>
          <w:tcPr>
            <w:tcMar>
              <w:top w:type="dxa" w:w="80"/>
              <w:left w:type="dxa" w:w="100"/>
              <w:bottom w:type="dxa" w:w="80"/>
              <w:right w:type="dxa" w:w="100"/>
            </w:tcMar>
          </w:tcPr>
          <w:p>
            <w:pPr>
              <w:bidi w:val="false"/>
              <w:spacing w:after="0"/>
            </w:pPr>
            <w:r>
              <w:rPr>
                <w:b w:val="false"/>
                <w:sz w:val="18"/>
                <w:szCs w:val="18"/>
                <w:rtl w:val="false"/>
              </w:rPr>
              <w:t xml:space="preserve">Registering through a representative requires an official power of attorney.</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 Tawtheeq</w:t>
            </w:r>
          </w:p>
        </w:tc>
        <w:tc>
          <w:tcPr>
            <w:tcMar>
              <w:top w:type="dxa" w:w="80"/>
              <w:left w:type="dxa" w:w="100"/>
              <w:bottom w:type="dxa" w:w="80"/>
              <w:right w:type="dxa" w:w="100"/>
            </w:tcMar>
          </w:tcPr>
          <w:p>
            <w:pPr>
              <w:bidi w:val="false"/>
              <w:spacing w:after="0"/>
            </w:pPr>
            <w:r>
              <w:rPr>
                <w:b w:val="false"/>
                <w:sz w:val="18"/>
                <w:szCs w:val="18"/>
                <w:rtl w:val="false"/>
              </w:rPr>
              <w:t xml:space="preserve">Leases are registered on a standardised form by the landlord or property manager; registration is needed to connect utilities.</w:t>
            </w:r>
            <w:r>
              <w:rPr>
                <w:b w:val="false"/>
                <w:sz w:val="18"/>
                <w:szCs w:val="18"/>
                <w:rtl w:val="false"/>
              </w:rPr>
              <w:t xml:space="preserve"> [7]</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 tenancy law</w:t>
            </w:r>
          </w:p>
        </w:tc>
        <w:tc>
          <w:tcPr>
            <w:tcMar>
              <w:top w:type="dxa" w:w="80"/>
              <w:left w:type="dxa" w:w="100"/>
              <w:bottom w:type="dxa" w:w="80"/>
              <w:right w:type="dxa" w:w="100"/>
            </w:tcMar>
          </w:tcPr>
          <w:p>
            <w:pPr>
              <w:bidi w:val="false"/>
              <w:spacing w:after="0"/>
            </w:pPr>
            <w:r>
              <w:rPr>
                <w:b w:val="false"/>
                <w:sz w:val="18"/>
                <w:szCs w:val="18"/>
                <w:rtl w:val="false"/>
              </w:rPr>
              <w:t xml:space="preserve">Law No. 20 of 2006 and its amendments, published by ADREC.</w:t>
            </w:r>
            <w:r>
              <w:rPr>
                <w:b w:val="false"/>
                <w:sz w:val="18"/>
                <w:szCs w:val="18"/>
                <w:rtl w:val="false"/>
              </w:rPr>
              <w:t xml:space="preserve"> [14]</w:t>
            </w:r>
          </w:p>
        </w:tc>
      </w:tr>
    </w:tbl>
    <w:p>
      <w:pPr>
        <w:bidi w:val="false"/>
      </w:pPr>
    </w:p>
    <w:p>
      <w:pPr>
        <w:pStyle w:val="Heading1"/>
        <w:bidi w:val="false"/>
      </w:pPr>
      <w:r>
        <w:rPr>
          <w:rtl w:val="false"/>
        </w:rPr>
        <w:t xml:space="preserve">Other GCC countries</w:t>
      </w:r>
    </w:p>
    <w:p>
      <w:pPr>
        <w:pStyle w:val="ListParagraph"/>
        <w:numPr>
          <w:ilvl w:val="0"/>
          <w:numId w:val="2"/>
        </w:numPr>
        <w:bidi w:val="false"/>
      </w:pPr>
      <w:r>
        <w:rPr>
          <w:b/>
          <w:bCs/>
          <w:rtl w:val="false"/>
        </w:rPr>
        <w:t xml:space="preserve">Qatar:</w:t>
      </w:r>
      <w:r>
        <w:rPr>
          <w:rtl w:val="false"/>
        </w:rPr>
        <w:t xml:space="preserve"> leases are registered with the registration office set up under the Rent Law (Law No. 4 of 2008).</w:t>
      </w:r>
      <w:r>
        <w:rPr>
          <w:rtl w:val="false"/>
        </w:rPr>
        <w:t xml:space="preserve"> [8]</w:t>
      </w:r>
    </w:p>
    <w:p>
      <w:pPr>
        <w:pStyle w:val="ListParagraph"/>
        <w:numPr>
          <w:ilvl w:val="0"/>
          <w:numId w:val="2"/>
        </w:numPr>
        <w:bidi w:val="false"/>
      </w:pPr>
      <w:r>
        <w:rPr>
          <w:b/>
          <w:bCs/>
          <w:rtl w:val="false"/>
        </w:rPr>
        <w:t xml:space="preserve">Bahrain:</w:t>
      </w:r>
      <w:r>
        <w:rPr>
          <w:rtl w:val="false"/>
        </w:rPr>
        <w:t xml:space="preserve"> a lease-contract registration e-service is available.</w:t>
      </w:r>
      <w:r>
        <w:rPr>
          <w:rtl w:val="false"/>
        </w:rPr>
        <w:t xml:space="preserve"> [9]</w:t>
      </w:r>
      <w:r>
        <w:rPr>
          <w:rtl w:val="false"/>
        </w:rPr>
        <w:t xml:space="preserve"> We haven't confirmed whether registration is mandatory or what follows if a lease isn't registered.</w:t>
      </w:r>
    </w:p>
    <w:p>
      <w:pPr>
        <w:pStyle w:val="ListParagraph"/>
        <w:numPr>
          <w:ilvl w:val="0"/>
          <w:numId w:val="2"/>
        </w:numPr>
        <w:bidi w:val="false"/>
      </w:pPr>
      <w:r>
        <w:rPr>
          <w:b/>
          <w:bCs/>
          <w:rtl w:val="false"/>
        </w:rPr>
        <w:t xml:space="preserve">Oman:</w:t>
      </w:r>
      <w:r>
        <w:rPr>
          <w:rtl w:val="false"/>
        </w:rPr>
        <w:t xml:space="preserve"> Muscat Municipality offers lease-registration e-services.</w:t>
      </w:r>
      <w:r>
        <w:rPr>
          <w:rtl w:val="false"/>
        </w:rPr>
        <w:t xml:space="preserve"> [10]</w:t>
      </w:r>
      <w:r>
        <w:rPr>
          <w:rtl w:val="false"/>
        </w:rPr>
        <w:t xml:space="preserve"> We haven't confirmed whether registration is mandatory.</w:t>
      </w:r>
    </w:p>
    <w:p>
      <w:pPr>
        <w:pStyle w:val="ListParagraph"/>
        <w:numPr>
          <w:ilvl w:val="0"/>
          <w:numId w:val="2"/>
        </w:numPr>
        <w:bidi w:val="false"/>
      </w:pPr>
      <w:r>
        <w:rPr>
          <w:b/>
          <w:bCs/>
          <w:rtl w:val="false"/>
        </w:rPr>
        <w:t xml:space="preserve">Kuwait:</w:t>
      </w:r>
      <w:r>
        <w:rPr>
          <w:rtl w:val="false"/>
        </w:rPr>
        <w:t xml:space="preserve"> check the current rules with a Kuwaiti lawyer.</w:t>
      </w:r>
    </w:p>
    <w:p>
      <w:pPr>
        <w:pStyle w:val="Heading1"/>
        <w:pageBreakBefore/>
        <w:bidi w:val="false"/>
      </w:pPr>
      <w:r>
        <w:rPr>
          <w:rtl w:val="false"/>
        </w:rPr>
        <w:t xml:space="preserve">Handover inventory</w:t>
      </w:r>
    </w:p>
    <w:p>
      <w:pPr>
        <w:bidi w:val="false"/>
      </w:pPr>
      <w:r>
        <w:rPr>
          <w:rtl w:val="false"/>
        </w:rPr>
        <w:t xml:space="preserve">Complete at the start of the lease and again at the end. Both parties sign each version.</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Room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Condition at start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Condition at end</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Notes</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Living room</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Kitchen and appliances</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Bedroom 1</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Bathroom 1</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Air conditioning</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Keys and access cards</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number</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Meter readings: electricity/water</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irzaqizfv5tvzkkusdqdi">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https://www.qanu.ai/en/templates/residential-lease-agreement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Ejar, Regulatory FAQ (Cabinet Decision No. 292 of 16/5/1438H) </w:t>
      </w:r>
      <w:hyperlink w:history="1" r:id="rIdr64fkpvvq7flphmg3lqpy">
        <w:r>
          <w:rPr>
            <w:rStyle w:val="Hyperlink"/>
            <w:sz w:val="16"/>
            <w:szCs w:val="16"/>
          </w:rPr>
          <w:t xml:space="preserve">https://www.ejar.sa/ar/faqregulation</w:t>
        </w:r>
      </w:hyperlink>
    </w:p>
    <w:p>
      <w:pPr>
        <w:bidi w:val="false"/>
        <w:ind w:start="360" w:hanging="360"/>
      </w:pPr>
      <w:r>
        <w:rPr>
          <w:sz w:val="18"/>
          <w:szCs w:val="18"/>
          <w:rtl w:val="false"/>
        </w:rPr>
        <w:t xml:space="preserve">[2] Ejar, Electronic lease contract service </w:t>
      </w:r>
      <w:hyperlink w:history="1" r:id="rIdnn8dpjx1bavnzye7ofd2j">
        <w:r>
          <w:rPr>
            <w:rStyle w:val="Hyperlink"/>
            <w:sz w:val="16"/>
            <w:szCs w:val="16"/>
          </w:rPr>
          <w:t xml:space="preserve">https://www.ejar.sa/en/service/355294</w:t>
        </w:r>
      </w:hyperlink>
    </w:p>
    <w:p>
      <w:pPr>
        <w:bidi w:val="false"/>
        <w:ind w:start="360" w:hanging="360"/>
      </w:pPr>
      <w:r>
        <w:rPr>
          <w:sz w:val="18"/>
          <w:szCs w:val="18"/>
          <w:rtl w:val="false"/>
        </w:rPr>
        <w:t xml:space="preserve">[3] Real Estate General Authority (REGA), announcement of the regulatory provisions governing the relationship between landlords and tenants </w:t>
      </w:r>
      <w:hyperlink w:history="1" r:id="rId08xertohxrf-r0admgflc">
        <w:r>
          <w:rPr>
            <w:rStyle w:val="Hyperlink"/>
            <w:sz w:val="16"/>
            <w:szCs w:val="16"/>
          </w:rPr>
          <w:t xml:space="preserve">https://rega.gov.sa/en/media-center/news-announcements/in-line-with-hrh-crown-prince-s-directive-to-take-several-measures-to-achieve-balance-in-the-real-estate-sector-in-riyadh-approval-has-been-issued-for-regulatory-provisions-aimed-at-regulating-the-relationship-between-landlords-and-tenants/</w:t>
        </w:r>
      </w:hyperlink>
    </w:p>
    <w:p>
      <w:pPr>
        <w:bidi w:val="false"/>
        <w:ind w:start="360" w:hanging="360"/>
      </w:pPr>
      <w:r>
        <w:rPr>
          <w:sz w:val="18"/>
          <w:szCs w:val="18"/>
          <w:rtl w:val="false"/>
        </w:rPr>
        <w:t xml:space="preserve">[4] Dubai Legislation Portal, Law No. (26) of 2007 regulating the relationship between landlords and tenants in the Emirate of Dubai (PDF) </w:t>
      </w:r>
      <w:hyperlink w:history="1" r:id="rIdgbahnms1yjsmcuah7tijd">
        <w:r>
          <w:rPr>
            <w:rStyle w:val="Hyperlink"/>
            <w:sz w:val="16"/>
            <w:szCs w:val="16"/>
          </w:rPr>
          <w:t xml:space="preserve">https://dlp.dubai.gov.ae/Legislation%20Reference/2007/Law%20No.%20(26)%20of%202007.pdf</w:t>
        </w:r>
      </w:hyperlink>
    </w:p>
    <w:p>
      <w:pPr>
        <w:bidi w:val="false"/>
        <w:ind w:start="360" w:hanging="360"/>
      </w:pPr>
      <w:r>
        <w:rPr>
          <w:sz w:val="18"/>
          <w:szCs w:val="18"/>
          <w:rtl w:val="false"/>
        </w:rPr>
        <w:t xml:space="preserve">[5] Dubai Land Department (DLD), Register or renew an Ejari contract </w:t>
      </w:r>
      <w:hyperlink w:history="1" r:id="rId8wzxaynx9suct2caikykx">
        <w:r>
          <w:rPr>
            <w:rStyle w:val="Hyperlink"/>
            <w:sz w:val="16"/>
            <w:szCs w:val="16"/>
          </w:rPr>
          <w:t xml:space="preserve">https://dubailand.gov.ae/en/eservices/register-renew-ejari-contract/</w:t>
        </w:r>
      </w:hyperlink>
    </w:p>
    <w:p>
      <w:pPr>
        <w:bidi w:val="false"/>
        <w:ind w:start="360" w:hanging="360"/>
      </w:pPr>
      <w:r>
        <w:rPr>
          <w:sz w:val="18"/>
          <w:szCs w:val="18"/>
          <w:rtl w:val="false"/>
        </w:rPr>
        <w:t xml:space="preserve">[6] Dubai Land Department (DLD), Download the unified Ejari tenancy contract </w:t>
      </w:r>
      <w:hyperlink w:history="1" r:id="rIdiy8ggn8mbkwytpm239u9_">
        <w:r>
          <w:rPr>
            <w:rStyle w:val="Hyperlink"/>
            <w:sz w:val="16"/>
            <w:szCs w:val="16"/>
          </w:rPr>
          <w:t xml:space="preserve">https://dubailand.gov.ae/en/eservices/ejari-templates/download-unified-ejari-tenancy-contract</w:t>
        </w:r>
      </w:hyperlink>
    </w:p>
    <w:p>
      <w:pPr>
        <w:bidi w:val="false"/>
        <w:ind w:start="360" w:hanging="360"/>
      </w:pPr>
      <w:r>
        <w:rPr>
          <w:sz w:val="18"/>
          <w:szCs w:val="18"/>
          <w:rtl w:val="false"/>
        </w:rPr>
        <w:t xml:space="preserve">[7] TAMM (Abu Dhabi Government), Lease registration guidelines (Tawtheeq) </w:t>
      </w:r>
      <w:hyperlink w:history="1" r:id="rId1j-y_kimfgl1u6rckg_do">
        <w:r>
          <w:rPr>
            <w:rStyle w:val="Hyperlink"/>
            <w:sz w:val="16"/>
            <w:szCs w:val="16"/>
          </w:rPr>
          <w:t xml:space="preserve">https://www.tamm.abudhabi/en/articles/lease-registration-guidelines</w:t>
        </w:r>
      </w:hyperlink>
    </w:p>
    <w:p>
      <w:pPr>
        <w:bidi w:val="false"/>
        <w:ind w:start="360" w:hanging="360"/>
      </w:pPr>
      <w:r>
        <w:rPr>
          <w:sz w:val="18"/>
          <w:szCs w:val="18"/>
          <w:rtl w:val="false"/>
        </w:rPr>
        <w:t xml:space="preserve">[8] Al Meezan (Qatar Legal Portal), Law No. 4 of 2008 on property leasing </w:t>
      </w:r>
      <w:hyperlink w:history="1" r:id="rId78ytygwhirmzoh3i-6ota">
        <w:r>
          <w:rPr>
            <w:rStyle w:val="Hyperlink"/>
            <w:sz w:val="16"/>
            <w:szCs w:val="16"/>
          </w:rPr>
          <w:t xml:space="preserve">https://www.almeezan.qa/LawArticles.aspx?LawArticleID=75041&amp;language=ar&amp;lawId=3982</w:t>
        </w:r>
      </w:hyperlink>
    </w:p>
    <w:p>
      <w:pPr>
        <w:bidi w:val="false"/>
        <w:ind w:start="360" w:hanging="360"/>
      </w:pPr>
      <w:r>
        <w:rPr>
          <w:sz w:val="18"/>
          <w:szCs w:val="18"/>
          <w:rtl w:val="false"/>
        </w:rPr>
        <w:t xml:space="preserve">[9] Bahrain eGovernment portal, Lease contract registration e-service </w:t>
      </w:r>
      <w:hyperlink w:history="1" r:id="rIdc8hhyamjgm0lwaiuc1xdn">
        <w:r>
          <w:rPr>
            <w:rStyle w:val="Hyperlink"/>
            <w:sz w:val="16"/>
            <w:szCs w:val="16"/>
          </w:rPr>
          <w:t xml:space="preserve">https://services.bahrain.bh/wps/portal/LeaseContractReg_ar</w:t>
        </w:r>
      </w:hyperlink>
    </w:p>
    <w:p>
      <w:pPr>
        <w:bidi w:val="false"/>
        <w:ind w:start="360" w:hanging="360"/>
      </w:pPr>
      <w:r>
        <w:rPr>
          <w:sz w:val="18"/>
          <w:szCs w:val="18"/>
          <w:rtl w:val="false"/>
        </w:rPr>
        <w:t xml:space="preserve">[10] Muscat Municipality, e-services portal </w:t>
      </w:r>
      <w:hyperlink w:history="1" r:id="rId1jx5hypxcguo-nv1mdzsy">
        <w:r>
          <w:rPr>
            <w:rStyle w:val="Hyperlink"/>
            <w:sz w:val="16"/>
            <w:szCs w:val="16"/>
          </w:rPr>
          <w:t xml:space="preserve">https://eservices.mm.gov.om/</w:t>
        </w:r>
      </w:hyperlink>
    </w:p>
    <w:p>
      <w:pPr>
        <w:bidi w:val="false"/>
        <w:ind w:start="360" w:hanging="360"/>
      </w:pPr>
      <w:r>
        <w:rPr>
          <w:sz w:val="18"/>
          <w:szCs w:val="18"/>
          <w:rtl w:val="false"/>
        </w:rPr>
        <w:t xml:space="preserve">[11] Ministry of Justice legal portal, Civil Transactions Law (Royal Decree No. M/191 of 29/11/1444H) </w:t>
      </w:r>
      <w:hyperlink w:history="1" r:id="rId4qo-bylqsiolwrjdp2f-y">
        <w:r>
          <w:rPr>
            <w:rStyle w:val="Hyperlink"/>
            <w:sz w:val="16"/>
            <w:szCs w:val="16"/>
          </w:rPr>
          <w:t xml:space="preserve">https://laws.moj.gov.sa/ar/legislation/PBbHmywh1XMp-Kyv3NtQLg</w:t>
        </w:r>
      </w:hyperlink>
    </w:p>
    <w:p>
      <w:pPr>
        <w:bidi w:val="false"/>
        <w:ind w:start="360" w:hanging="360"/>
      </w:pPr>
      <w:r>
        <w:rPr>
          <w:sz w:val="18"/>
          <w:szCs w:val="18"/>
          <w:rtl w:val="false"/>
        </w:rPr>
        <w:t xml:space="preserve">[12] Dubai Land Department (DLD), Unified Tenancy Contract (PDF, Arabic and English) </w:t>
      </w:r>
      <w:hyperlink w:history="1" r:id="rIdmvtp6czgibh9eokrlcqay">
        <w:r>
          <w:rPr>
            <w:rStyle w:val="Hyperlink"/>
            <w:sz w:val="16"/>
            <w:szCs w:val="16"/>
          </w:rPr>
          <w:t xml:space="preserve">https://dubailand.gov.ae/media/ivuhfjxa/ejari_unified_tenancy_contract.pdf</w:t>
        </w:r>
      </w:hyperlink>
    </w:p>
    <w:p>
      <w:pPr>
        <w:bidi w:val="false"/>
        <w:ind w:start="360" w:hanging="360"/>
      </w:pPr>
      <w:r>
        <w:rPr>
          <w:sz w:val="18"/>
          <w:szCs w:val="18"/>
          <w:rtl w:val="false"/>
        </w:rPr>
        <w:t xml:space="preserve">[13] Dubai Land Department (DLD), Rental index </w:t>
      </w:r>
      <w:hyperlink w:history="1" r:id="rIdshdyciliezbyoh3lxa4q0">
        <w:r>
          <w:rPr>
            <w:rStyle w:val="Hyperlink"/>
            <w:sz w:val="16"/>
            <w:szCs w:val="16"/>
          </w:rPr>
          <w:t xml:space="preserve">https://dubailand.gov.ae/en/eservices/rental-index/</w:t>
        </w:r>
      </w:hyperlink>
    </w:p>
    <w:p>
      <w:pPr>
        <w:bidi w:val="false"/>
        <w:ind w:start="360" w:hanging="360"/>
      </w:pPr>
      <w:r>
        <w:rPr>
          <w:sz w:val="18"/>
          <w:szCs w:val="18"/>
          <w:rtl w:val="false"/>
        </w:rPr>
        <w:t xml:space="preserve">[14] Abu Dhabi Real Estate Centre (ADREC), Tenancy rules and regulations </w:t>
      </w:r>
      <w:hyperlink w:history="1" r:id="rIdqtx6kz4oqejudfh0n5721">
        <w:r>
          <w:rPr>
            <w:rStyle w:val="Hyperlink"/>
            <w:sz w:val="16"/>
            <w:szCs w:val="16"/>
          </w:rPr>
          <w:t xml:space="preserve">https://adrec.gov.ae/en/rules_and_regulations/tenancy</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If an agent signs, attach the </w:t>
      </w:r>
      <w:hyperlink w:history="1" r:id="rId09kiqpvkkf6dvj6va8_hi">
        <w:r>
          <w:rPr>
            <w:rStyle w:val="Hyperlink"/>
            <w:rtl w:val="false"/>
          </w:rPr>
          <w:t xml:space="preserve">power of attorney</w:t>
        </w:r>
      </w:hyperlink>
      <w:r>
        <w:rPr>
          <w:rtl w:val="false"/>
        </w:rPr>
        <w:t xml:space="preserve">. Registering an Ejari contract through a representative requires an official power of attorney.</w:t>
      </w:r>
      <w:r>
        <w:rPr>
          <w:rtl w:val="false"/>
        </w:rPr>
        <w:t xml:space="preserve"> [5]</w:t>
      </w:r>
      <w:r>
        <w:rPr>
          <w:rtl w:val="false"/>
        </w:rPr>
        <w:t xml:space="preserve"> See also </w:t>
      </w:r>
      <w:hyperlink w:history="1" r:id="rIdbaktf0bzerwvqhltjcsnj">
        <w:r>
          <w:rPr>
            <w:rStyle w:val="Hyperlink"/>
            <w:rtl w:val="false"/>
          </w:rPr>
          <w:t xml:space="preserve">notary public</w:t>
        </w:r>
      </w:hyperlink>
      <w:r>
        <w:rPr>
          <w:rtl w:val="false"/>
        </w:rPr>
        <w:t xml:space="preserve"> in our glossary. If the landlord is a company, enter its </w:t>
      </w:r>
      <w:hyperlink w:history="1" r:id="rId1_apq5rvg2jwcuukilhrn">
        <w:r>
          <w:rPr>
            <w:rStyle w:val="Hyperlink"/>
            <w:rtl w:val="false"/>
          </w:rPr>
          <w:t xml:space="preserve">commercial registration</w:t>
        </w:r>
      </w:hyperlink>
      <w:r>
        <w:rPr>
          <w:rtl w:val="false"/>
        </w:rPr>
        <w:t xml:space="preserve"> number.</w:t>
      </w:r>
    </w:p>
  </w:comment>
  <w:comment w:id="1" w:initials="Q" w:author="Qanu" w:date="2026-10-17T00:00:00.000Z">
    <w:p>
      <w:pPr>
        <w:bidi w:val="false"/>
      </w:pPr>
      <w:r>
        <w:rPr>
          <w:b/>
          <w:bCs/>
          <w:rtl w:val="false"/>
        </w:rPr>
        <w:t xml:space="preserve">Drafting note</w:t>
      </w:r>
    </w:p>
    <w:p>
      <w:pPr>
        <w:bidi w:val="false"/>
      </w:pPr>
      <w:r>
        <w:rPr>
          <w:rtl w:val="false"/>
        </w:rPr>
        <w:t xml:space="preserve">The Saudi Civil Transactions Law defines the lease (Art. 407).</w:t>
      </w:r>
      <w:r>
        <w:rPr>
          <w:rtl w:val="false"/>
        </w:rPr>
        <w:t xml:space="preserve"> [11]</w:t>
      </w:r>
    </w:p>
  </w:comment>
  <w:comment w:id="2" w:initials="Q" w:author="Qanu" w:date="2026-10-17T00:00:00.000Z">
    <w:p>
      <w:pPr>
        <w:bidi w:val="false"/>
      </w:pPr>
      <w:r>
        <w:rPr>
          <w:b/>
          <w:bCs/>
          <w:rtl w:val="false"/>
        </w:rPr>
        <w:t xml:space="preserve">Drafting note</w:t>
      </w:r>
    </w:p>
    <w:p>
      <w:pPr>
        <w:bidi w:val="false"/>
      </w:pPr>
      <w:r>
        <w:rPr>
          <w:rtl w:val="false"/>
        </w:rPr>
        <w:t xml:space="preserve">Residential use only. Commercial leases are out of scope, and so are units bought </w:t>
      </w:r>
      <w:hyperlink w:history="1" r:id="rId-haby_fqb5jjtkeuilxy0">
        <w:r>
          <w:rPr>
            <w:rStyle w:val="Hyperlink"/>
            <w:rtl w:val="false"/>
          </w:rPr>
          <w:t xml:space="preserve">off-plan</w:t>
        </w:r>
      </w:hyperlink>
      <w:r>
        <w:rPr>
          <w:rtl w:val="false"/>
        </w:rPr>
        <w:t xml:space="preserve">.</w:t>
      </w:r>
    </w:p>
  </w:comment>
  <w:comment w:id="3" w:initials="Q" w:author="Qanu" w:date="2026-10-17T00:00:00.000Z">
    <w:p>
      <w:pPr>
        <w:bidi w:val="false"/>
      </w:pPr>
      <w:r>
        <w:rPr>
          <w:b/>
          <w:bCs/>
          <w:rtl w:val="false"/>
        </w:rPr>
        <w:t xml:space="preserve">Drafting note</w:t>
      </w:r>
    </w:p>
    <w:p>
      <w:pPr>
        <w:bidi w:val="false"/>
      </w:pPr>
      <w:r>
        <w:rPr>
          <w:rtl w:val="false"/>
        </w:rPr>
        <w:t xml:space="preserve">Dubai: the term must be specified (Law No. 26 of 2007, Art. 5).</w:t>
      </w:r>
      <w:r>
        <w:rPr>
          <w:rtl w:val="false"/>
        </w:rPr>
        <w:t xml:space="preserve"> [4]</w:t>
      </w:r>
    </w:p>
  </w:comment>
  <w:comment w:id="4" w:initials="Q" w:author="Qanu" w:date="2026-10-17T00:00:00.000Z">
    <w:p>
      <w:pPr>
        <w:bidi w:val="false"/>
      </w:pPr>
      <w:r>
        <w:rPr>
          <w:b/>
          <w:bCs/>
          <w:rtl w:val="false"/>
        </w:rPr>
        <w:t xml:space="preserve">Drafting note</w:t>
      </w:r>
    </w:p>
    <w:p>
      <w:pPr>
        <w:bidi w:val="false"/>
      </w:pPr>
      <w:r>
        <w:rPr>
          <w:rtl w:val="false"/>
        </w:rPr>
        <w:t xml:space="preserve">• Riyadh: REGA's provisions suspend increases in the total rental value of residential and commercial leases, existing or new, within Riyadh's urban boundaries for five years from 25 September 2025.</w:t>
      </w:r>
      <w:r>
        <w:rPr>
          <w:rtl w:val="false"/>
        </w:rPr>
        <w:t xml:space="preserve"> [3]</w:t>
      </w:r>
    </w:p>
    <w:p>
      <w:pPr>
        <w:bidi w:val="false"/>
      </w:pPr>
      <w:r>
        <w:rPr>
          <w:rtl w:val="false"/>
        </w:rPr>
        <w:t xml:space="preserve">• Dubai: rent increases are governed by the law and Decree No. 43 of 2013. Check the DLD rental index rather than relying on a fixed number.</w:t>
      </w:r>
      <w:r>
        <w:rPr>
          <w:rtl w:val="false"/>
        </w:rPr>
        <w:t xml:space="preserve"> [12][13]</w:t>
      </w:r>
    </w:p>
  </w:comment>
  <w:comment w:id="5" w:initials="Q" w:author="Qanu" w:date="2026-10-17T00:00:00.000Z">
    <w:p>
      <w:pPr>
        <w:bidi w:val="false"/>
      </w:pPr>
      <w:r>
        <w:rPr>
          <w:b/>
          <w:bCs/>
          <w:rtl w:val="false"/>
        </w:rPr>
        <w:t xml:space="preserve">Drafting note</w:t>
      </w:r>
    </w:p>
    <w:p>
      <w:pPr>
        <w:bidi w:val="false"/>
      </w:pPr>
      <w:r>
        <w:rPr>
          <w:rtl w:val="false"/>
        </w:rPr>
        <w:t xml:space="preserve">• Saudi Arabia: leases are registered on Ejar.</w:t>
      </w:r>
      <w:r>
        <w:rPr>
          <w:rtl w:val="false"/>
        </w:rPr>
        <w:t xml:space="preserve"> [1]</w:t>
      </w:r>
      <w:r>
        <w:rPr>
          <w:rtl w:val="false"/>
        </w:rPr>
        <w:t xml:space="preserve"> Under REGA's provisions, landlords must apply to register leases not registered on Ejar, and tenants may also apply.</w:t>
      </w:r>
      <w:r>
        <w:rPr>
          <w:rtl w:val="false"/>
        </w:rPr>
        <w:t xml:space="preserve"> [3]</w:t>
      </w:r>
    </w:p>
    <w:p>
      <w:pPr>
        <w:bidi w:val="false"/>
      </w:pPr>
      <w:r>
        <w:rPr>
          <w:rtl w:val="false"/>
        </w:rPr>
        <w:t xml:space="preserve">• Dubai: leases must be registered (Art. 4), and in the Unified Tenancy Contract the landlord undertakes to register the lease on Ejari.</w:t>
      </w:r>
      <w:r>
        <w:rPr>
          <w:rtl w:val="false"/>
        </w:rPr>
        <w:t xml:space="preserve"> [4][12]</w:t>
      </w:r>
    </w:p>
    <w:p>
      <w:pPr>
        <w:bidi w:val="false"/>
      </w:pPr>
      <w:r>
        <w:rPr>
          <w:rtl w:val="false"/>
        </w:rPr>
        <w:t xml:space="preserve">• Abu Dhabi: Tawtheeq.</w:t>
      </w:r>
      <w:r>
        <w:rPr>
          <w:rtl w:val="false"/>
        </w:rPr>
        <w:t xml:space="preserve"> [7]</w:t>
      </w:r>
      <w:r>
        <w:rPr>
          <w:rtl w:val="false"/>
        </w:rPr>
        <w:t xml:space="preserve"> Qatar: the registration office set up under the Rent Law.</w:t>
      </w:r>
      <w:r>
        <w:rPr>
          <w:rtl w:val="false"/>
        </w:rPr>
        <w:t xml:space="preserve"> [8]</w:t>
      </w:r>
    </w:p>
    <w:p>
      <w:pPr>
        <w:bidi w:val="false"/>
      </w:pPr>
      <w:r>
        <w:rPr>
          <w:rtl w:val="false"/>
        </w:rPr>
        <w:t xml:space="preserve">• Bahrain and Oman: a registration e-service exists,</w:t>
      </w:r>
      <w:r>
        <w:rPr>
          <w:rtl w:val="false"/>
        </w:rPr>
        <w:t xml:space="preserve"> [9][10]</w:t>
      </w:r>
      <w:r>
        <w:rPr>
          <w:rtl w:val="false"/>
        </w:rPr>
        <w:t xml:space="preserve"> but we haven't confirmed whether registration is mandatory.</w:t>
      </w:r>
    </w:p>
  </w:comment>
  <w:comment w:id="6" w:initials="Q" w:author="Qanu" w:date="2026-10-17T00:00:00.000Z">
    <w:p>
      <w:pPr>
        <w:bidi w:val="false"/>
      </w:pPr>
      <w:r>
        <w:rPr>
          <w:b/>
          <w:bCs/>
          <w:rtl w:val="false"/>
        </w:rPr>
        <w:t xml:space="preserve">Drafting note</w:t>
      </w:r>
    </w:p>
    <w:p>
      <w:pPr>
        <w:bidi w:val="false"/>
      </w:pPr>
      <w:r>
        <w:rPr>
          <w:rtl w:val="false"/>
        </w:rPr>
        <w:t xml:space="preserve">Abu Dhabi: Tawtheeq registration is needed to connect utilities.</w:t>
      </w:r>
      <w:r>
        <w:rPr>
          <w:rtl w:val="false"/>
        </w:rPr>
        <w:t xml:space="preserve"> [7]</w:t>
      </w:r>
    </w:p>
  </w:comment>
  <w:comment w:id="7" w:initials="Q" w:author="Qanu" w:date="2026-10-17T00:00:00.000Z">
    <w:p>
      <w:pPr>
        <w:bidi w:val="false"/>
      </w:pPr>
      <w:r>
        <w:rPr>
          <w:b/>
          <w:bCs/>
          <w:rtl w:val="false"/>
        </w:rPr>
        <w:t xml:space="preserve">Drafting note</w:t>
      </w:r>
    </w:p>
    <w:p>
      <w:pPr>
        <w:bidi w:val="false"/>
      </w:pPr>
      <w:r>
        <w:rPr>
          <w:rtl w:val="false"/>
        </w:rPr>
        <w:t xml:space="preserve">Allocate repairs clearly; the default rules differ by country.</w:t>
      </w:r>
    </w:p>
  </w:comment>
  <w:comment w:id="8" w:initials="Q" w:author="Qanu" w:date="2026-10-17T00:00:00.000Z">
    <w:p>
      <w:pPr>
        <w:bidi w:val="false"/>
      </w:pPr>
      <w:r>
        <w:rPr>
          <w:b/>
          <w:bCs/>
          <w:rtl w:val="false"/>
        </w:rPr>
        <w:t xml:space="preserve">Drafting note</w:t>
      </w:r>
    </w:p>
    <w:p>
      <w:pPr>
        <w:bidi w:val="false"/>
      </w:pPr>
      <w:r>
        <w:rPr>
          <w:rtl w:val="false"/>
        </w:rPr>
        <w:t xml:space="preserve">The Dubai Unified Tenancy Contract has a similar term.</w:t>
      </w:r>
      <w:r>
        <w:rPr>
          <w:rtl w:val="false"/>
        </w:rPr>
        <w:t xml:space="preserve"> [12]</w:t>
      </w:r>
    </w:p>
  </w:comment>
  <w:comment w:id="9" w:initials="Q" w:author="Qanu" w:date="2026-10-17T00:00:00.000Z">
    <w:p>
      <w:pPr>
        <w:bidi w:val="false"/>
      </w:pPr>
      <w:r>
        <w:rPr>
          <w:b/>
          <w:bCs/>
          <w:rtl w:val="false"/>
        </w:rPr>
        <w:t xml:space="preserve">Drafting note</w:t>
      </w:r>
    </w:p>
    <w:p>
      <w:pPr>
        <w:bidi w:val="false"/>
      </w:pPr>
      <w:r>
        <w:rPr>
          <w:rtl w:val="false"/>
        </w:rPr>
        <w:t xml:space="preserve">Use the handover inventory annex at the end of this template, and photograph each room.</w:t>
      </w:r>
    </w:p>
  </w:comment>
  <w:comment w:id="10" w:initials="Q" w:author="Qanu" w:date="2026-10-17T00:00:00.000Z">
    <w:p>
      <w:pPr>
        <w:bidi w:val="false"/>
      </w:pPr>
      <w:r>
        <w:rPr>
          <w:b/>
          <w:bCs/>
          <w:rtl w:val="false"/>
        </w:rPr>
        <w:t xml:space="preserve">Drafting note</w:t>
      </w:r>
    </w:p>
    <w:p>
      <w:pPr>
        <w:bidi w:val="false"/>
      </w:pPr>
      <w:r>
        <w:rPr>
          <w:rtl w:val="false"/>
        </w:rPr>
        <w:t xml:space="preserve">• Saudi Arabia: under REGA's provisions, leases in all cities of the Kingdom renew automatically unless notice of non-renewal is given at least 60 days before expiry, subject to exceptions.</w:t>
      </w:r>
      <w:r>
        <w:rPr>
          <w:rtl w:val="false"/>
        </w:rPr>
        <w:t xml:space="preserve"> [3]</w:t>
      </w:r>
      <w:r>
        <w:rPr>
          <w:rtl w:val="false"/>
        </w:rPr>
        <w:t xml:space="preserve"> The Civil Transactions Law deals with continued use after expiry (Art. 440).</w:t>
      </w:r>
      <w:r>
        <w:rPr>
          <w:rtl w:val="false"/>
        </w:rPr>
        <w:t xml:space="preserve"> [11]</w:t>
      </w:r>
    </w:p>
    <w:p>
      <w:pPr>
        <w:bidi w:val="false"/>
      </w:pPr>
      <w:r>
        <w:rPr>
          <w:rtl w:val="false"/>
        </w:rPr>
        <w:t xml:space="preserve">• Dubai: 90 days' notice before expiry to amend the terms or not renew (Art. 14).</w:t>
      </w:r>
      <w:r>
        <w:rPr>
          <w:rtl w:val="false"/>
        </w:rPr>
        <w:t xml:space="preserve"> [4]</w:t>
      </w:r>
    </w:p>
  </w:comment>
  <w:comment w:id="11" w:initials="Q" w:author="Qanu" w:date="2026-10-17T00:00:00.000Z">
    <w:p>
      <w:pPr>
        <w:bidi w:val="false"/>
      </w:pPr>
      <w:r>
        <w:rPr>
          <w:b/>
          <w:bCs/>
          <w:rtl w:val="false"/>
        </w:rPr>
        <w:t xml:space="preserve">Drafting note</w:t>
      </w:r>
    </w:p>
    <w:p>
      <w:pPr>
        <w:bidi w:val="false"/>
      </w:pPr>
      <w:r>
        <w:rPr>
          <w:rtl w:val="false"/>
        </w:rPr>
        <w:t xml:space="preserve">Dubai: Art. 25 sets the eviction cases.</w:t>
      </w:r>
      <w:r>
        <w:rPr>
          <w:rtl w:val="false"/>
        </w:rPr>
        <w:t xml:space="preserve"> [4]</w:t>
      </w:r>
      <w:r>
        <w:rPr>
          <w:rtl w:val="false"/>
        </w:rPr>
        <w:t xml:space="preserve"> Saudi Arabia: a lease doesn't end on the death of a party (Civil Transactions Law, Art. 441).</w:t>
      </w:r>
      <w:r>
        <w:rPr>
          <w:rtl w:val="false"/>
        </w:rPr>
        <w:t xml:space="preserve"> [11]</w:t>
      </w:r>
    </w:p>
  </w:comment>
  <w:comment w:id="12" w:initials="Q" w:author="Qanu" w:date="2026-10-17T00:00:00.000Z">
    <w:p>
      <w:pPr>
        <w:bidi w:val="false"/>
      </w:pPr>
      <w:r>
        <w:rPr>
          <w:b/>
          <w:bCs/>
          <w:rtl w:val="false"/>
        </w:rPr>
        <w:t xml:space="preserve">Drafting note</w:t>
      </w:r>
    </w:p>
    <w:p>
      <w:pPr>
        <w:bidi w:val="false"/>
      </w:pPr>
      <w:r>
        <w:rPr>
          <w:rtl w:val="false"/>
        </w:rPr>
        <w:t xml:space="preserve">• Saudi Arabia: the Ejar electronic contract is an enforceable instrument that can be filed directly with the enforcement court.</w:t>
      </w:r>
      <w:r>
        <w:rPr>
          <w:rtl w:val="false"/>
        </w:rPr>
        <w:t xml:space="preserve"> [2]</w:t>
      </w:r>
    </w:p>
    <w:p>
      <w:pPr>
        <w:bidi w:val="false"/>
      </w:pPr>
      <w:r>
        <w:rPr>
          <w:rtl w:val="false"/>
        </w:rPr>
        <w:t xml:space="preserve">• Dubai: disputes over unregistered leases are not heard (Art. 4).</w:t>
      </w:r>
      <w:r>
        <w:rPr>
          <w:rtl w:val="false"/>
        </w:rPr>
        <w:t xml:space="preserve"> [4]</w:t>
      </w:r>
      <w:r>
        <w:rPr>
          <w:rtl w:val="false"/>
        </w:rPr>
        <w:t xml:space="preserve"> The Unified Tenancy Contract refers disputes to the Rental Dispute Center.</w:t>
      </w:r>
      <w:r>
        <w:rPr>
          <w:rtl w:val="false"/>
        </w:rPr>
        <w:t xml:space="preserve"> [12]</w:t>
      </w:r>
    </w:p>
  </w:comment>
  <w:comment w:id="13" w:initials="Q" w:author="Qanu" w:date="2026-10-17T00:00:00.000Z">
    <w:p>
      <w:pPr>
        <w:bidi w:val="false"/>
      </w:pPr>
      <w:r>
        <w:rPr>
          <w:b/>
          <w:bCs/>
          <w:rtl w:val="false"/>
        </w:rPr>
        <w:t xml:space="preserve">Drafting note</w:t>
      </w:r>
    </w:p>
    <w:p>
      <w:pPr>
        <w:bidi w:val="false"/>
      </w:pPr>
      <w:r>
        <w:rPr>
          <w:rtl w:val="false"/>
        </w:rPr>
        <w:t xml:space="preserve">In the Dubai Unified Tenancy Contract the Arabic text prevails.</w:t>
      </w:r>
      <w:r>
        <w:rPr>
          <w:rtl w:val="false"/>
        </w:rPr>
        <w:t xml:space="preserve"> [12]</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https://www.qanu.ai/en/templates/residential-lease-agreement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https://www.qanu.ai/en/templates/residential-lease-agreement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09kiqpvkkf6dvj6va8_hi" Type="http://schemas.openxmlformats.org/officeDocument/2006/relationships/hyperlink" Target="https://www.qanu.ai/en/glossary/power-of-attorney" TargetMode="External"/><Relationship Id="rIdbaktf0bzerwvqhltjcsnj" Type="http://schemas.openxmlformats.org/officeDocument/2006/relationships/hyperlink" Target="https://www.qanu.ai/en/glossary/notary-public" TargetMode="External"/><Relationship Id="rId1_apq5rvg2jwcuukilhrn" Type="http://schemas.openxmlformats.org/officeDocument/2006/relationships/hyperlink" Target="https://www.qanu.ai/en/glossary/commercial-registration" TargetMode="External"/><Relationship Id="rId-haby_fqb5jjtkeuilxy0" Type="http://schemas.openxmlformats.org/officeDocument/2006/relationships/hyperlink" Target="https://www.qanu.ai/en/glossary/off-plan-sal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fjxm7dgflz7xi5wbkwur3" Type="http://schemas.openxmlformats.org/officeDocument/2006/relationships/hyperlink" Target="https://www.ejar.sa/en/service/355294" TargetMode="External"/><Relationship Id="rIdrakjcewliktebr5htdinc" Type="http://schemas.openxmlformats.org/officeDocument/2006/relationships/hyperlink" Target="https://dubailand.gov.ae/en/eservices/register-renew-ejari-contract/" TargetMode="External"/><Relationship Id="rIdtnxivnev0gfy8v_rliudq" Type="http://schemas.openxmlformats.org/officeDocument/2006/relationships/hyperlink" Target="https://dubailand.gov.ae/en/eservices/ejari-templates/download-unified-ejari-tenancy-contract" TargetMode="External"/><Relationship Id="rId4r9qh0zsglsqylgiqekb_" Type="http://schemas.openxmlformats.org/officeDocument/2006/relationships/hyperlink" Target="https://www.tamm.abudhabi/en/articles/lease-registration-guidelines" TargetMode="External"/><Relationship Id="rIdirzaqizfv5tvzkkusdqdi" Type="http://schemas.openxmlformats.org/officeDocument/2006/relationships/hyperlink" Target="https://creativecommons.org/licenses/by/4.0/deed.en" TargetMode="External"/><Relationship Id="rIdr64fkpvvq7flphmg3lqpy" Type="http://schemas.openxmlformats.org/officeDocument/2006/relationships/hyperlink" Target="https://www.ejar.sa/ar/faqregulation" TargetMode="External"/><Relationship Id="rIdnn8dpjx1bavnzye7ofd2j" Type="http://schemas.openxmlformats.org/officeDocument/2006/relationships/hyperlink" Target="https://www.ejar.sa/en/service/355294" TargetMode="External"/><Relationship Id="rId08xertohxrf-r0admgflc" Type="http://schemas.openxmlformats.org/officeDocument/2006/relationships/hyperlink" Target="https://rega.gov.sa/en/media-center/news-announcements/in-line-with-hrh-crown-prince-s-directive-to-take-several-measures-to-achieve-balance-in-the-real-estate-sector-in-riyadh-approval-has-been-issued-for-regulatory-provisions-aimed-at-regulating-the-relationship-between-landlords-and-tenants/" TargetMode="External"/><Relationship Id="rIdgbahnms1yjsmcuah7tijd" Type="http://schemas.openxmlformats.org/officeDocument/2006/relationships/hyperlink" Target="https://dlp.dubai.gov.ae/Legislation%20Reference/2007/Law%20No.%20(26)%20of%202007.pdf" TargetMode="External"/><Relationship Id="rId8wzxaynx9suct2caikykx" Type="http://schemas.openxmlformats.org/officeDocument/2006/relationships/hyperlink" Target="https://dubailand.gov.ae/en/eservices/register-renew-ejari-contract/" TargetMode="External"/><Relationship Id="rIdiy8ggn8mbkwytpm239u9_" Type="http://schemas.openxmlformats.org/officeDocument/2006/relationships/hyperlink" Target="https://dubailand.gov.ae/en/eservices/ejari-templates/download-unified-ejari-tenancy-contract" TargetMode="External"/><Relationship Id="rId1j-y_kimfgl1u6rckg_do" Type="http://schemas.openxmlformats.org/officeDocument/2006/relationships/hyperlink" Target="https://www.tamm.abudhabi/en/articles/lease-registration-guidelines" TargetMode="External"/><Relationship Id="rId78ytygwhirmzoh3i-6ota" Type="http://schemas.openxmlformats.org/officeDocument/2006/relationships/hyperlink" Target="https://www.almeezan.qa/LawArticles.aspx?LawArticleID=75041&amp;language=ar&amp;lawId=3982" TargetMode="External"/><Relationship Id="rIdc8hhyamjgm0lwaiuc1xdn" Type="http://schemas.openxmlformats.org/officeDocument/2006/relationships/hyperlink" Target="https://services.bahrain.bh/wps/portal/LeaseContractReg_ar" TargetMode="External"/><Relationship Id="rId1jx5hypxcguo-nv1mdzsy" Type="http://schemas.openxmlformats.org/officeDocument/2006/relationships/hyperlink" Target="https://eservices.mm.gov.om/" TargetMode="External"/><Relationship Id="rId4qo-bylqsiolwrjdp2f-y" Type="http://schemas.openxmlformats.org/officeDocument/2006/relationships/hyperlink" Target="https://laws.moj.gov.sa/ar/legislation/PBbHmywh1XMp-Kyv3NtQLg" TargetMode="External"/><Relationship Id="rIdmvtp6czgibh9eokrlcqay" Type="http://schemas.openxmlformats.org/officeDocument/2006/relationships/hyperlink" Target="https://dubailand.gov.ae/media/ivuhfjxa/ejari_unified_tenancy_contract.pdf" TargetMode="External"/><Relationship Id="rIdshdyciliezbyoh3lxa4q0" Type="http://schemas.openxmlformats.org/officeDocument/2006/relationships/hyperlink" Target="https://dubailand.gov.ae/en/eservices/rental-index/" TargetMode="External"/><Relationship Id="rIdqtx6kz4oqejudfh0n5721" Type="http://schemas.openxmlformats.org/officeDocument/2006/relationships/hyperlink" Target="https://adrec.gov.ae/en/rules_and_regulations/tenancy"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 template and checklist</dc:title>
  <dc:creator>Qanu</dc:creator>
  <cp:keywords>Lease contract, Residential tenancy,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2026-10-17T15:50:45.269Z</dcterms:created>
  <dcterms:modified xsi:type="dcterms:W3CDTF">2026-10-17T15:50:45.269Z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https://www.qanu.ai/en/templates/residential-lease-agreement</vt:lpwstr>
  </property>
</Properties>
</file>