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للمنقولات فقط.</w:t>
      </w:r>
      <w:r>
        <w:rPr>
          <w:rtl/>
        </w:rPr>
        <w:t xml:space="preserve"> لا يُستخدم هذا النموذج لبيع العقارات أو المركبات أو الأسهم أو أي مال يلزم لنقل ملكيته التسجيل لدى جهة رسمية، إذ يخضع لإجراءات التسجيل الرسمية. وفي المملكة العربية السعودية تُقيَّد ملكية العقار في السجل العقاري.</w:t>
      </w:r>
      <w:r>
        <w:rPr>
          <w:rtl/>
        </w:rPr>
        <w:t xml:space="preserve"> [2][3]</w:t>
      </w:r>
      <w:r>
        <w:rPr>
          <w:rtl/>
        </w:rPr>
        <w:t xml:space="preserve"> وفي دبي يُسجَّل العقار وفق القانون رقم (7) لسنة 2006.</w:t>
      </w:r>
      <w:r>
        <w:rPr>
          <w:rtl/>
        </w:rPr>
        <w:t xml:space="preserve"> [4]</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السجل العقاري: </w:t>
      </w:r>
      <w:hyperlink w:history="1" r:id="rId_yyq82yiihhsdjoqsbgpc">
        <w:r>
          <w:rPr>
            <w:rStyle w:val="Hyperlink"/>
            <w:sz w:val="17"/>
            <w:szCs w:val="17"/>
          </w:rPr>
          <w:t xml:space="preserve">‪https://rer.sa/‬</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التسجيل العيني للعقار: </w:t>
      </w:r>
      <w:hyperlink w:history="1" r:id="rIdi5a82s-8pgm6rjhfxsgvf">
        <w:r>
          <w:rPr>
            <w:rStyle w:val="Hyperlink"/>
            <w:sz w:val="17"/>
            <w:szCs w:val="17"/>
          </w:rPr>
          <w:t xml:space="preserve">‪https://laws.moj.gov.sa/ar/legislation/R6fIk9qPUhuhF88Guk0ElQ‬</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تسجيل العقارات في دبي: </w:t>
      </w:r>
      <w:hyperlink w:history="1" r:id="rId0ols_j69fll-n-gplra96">
        <w:r>
          <w:rPr>
            <w:rStyle w:val="Hyperlink"/>
            <w:sz w:val="17"/>
            <w:szCs w:val="17"/>
          </w:rPr>
          <w:t xml:space="preserve">‪https://dlp.dubai.gov.ae/Legislation Reference/2006/Law No. (7) of 2006.pdf‬</w:t>
        </w:r>
      </w:hyperlink>
    </w:p>
    <w:p>
      <w:pPr>
        <w:bidi/>
        <w:spacing w:after="240"/>
      </w:pPr>
    </w:p>
    <w:p>
      <w:pPr>
        <w:pStyle w:val="Title"/>
        <w:bidi/>
      </w:pPr>
      <w:r>
        <w:rPr>
          <w:rtl/>
        </w:rPr>
        <w:t xml:space="preserve">عقد بيع منقولات</w:t>
      </w:r>
    </w:p>
    <w:p>
      <w:pPr>
        <w:bidi/>
        <w:spacing w:after="240"/>
      </w:pPr>
      <w:r>
        <w:rPr>
          <w:color w:val="444444"/>
          <w:rtl/>
        </w:rPr>
        <w:t xml:space="preserve">عقد بيع منقولات بين طرفين في دول الخليج، سواء كانا منشأتين أو فردين. وليس لبيع عقار أو مركبة أو أسهم أو أي مال يلزم لنقل ملكيته التسجيل لدى جهة رسمية.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الخيارات التي لا تنطبق.</w:t>
      </w:r>
    </w:p>
    <w:p>
      <w:pPr>
        <w:pStyle w:val="Heading1"/>
        <w:bidi/>
      </w:pPr>
      <w:r>
        <w:rPr>
          <w:rtl/>
        </w:rPr>
        <w:t xml:space="preserve">البند (1): الطرفان</w:t>
      </w:r>
    </w:p>
    <w:p>
      <w:pPr>
        <w:bidi/>
      </w:pPr>
      <w:r>
        <w:rPr>
          <w:rtl/>
        </w:rPr>
        <w:t xml:space="preserve">حُرِّر هذا العقد بتاريخ </w:t>
      </w:r>
      <w:r>
        <w:rPr>
          <w:highlight w:val="yellow"/>
          <w:rtl/>
        </w:rPr>
        <w:t xml:space="preserve">[</w:t>
      </w:r>
      <w:r>
        <w:rPr>
          <w:highlight w:val="yellow"/>
          <w:rtl/>
        </w:rPr>
        <w:t xml:space="preserve">التاريخ</w:t>
      </w:r>
      <w:r>
        <w:rPr>
          <w:highlight w:val="yellow"/>
          <w:rtl/>
        </w:rPr>
        <w:t xml:space="preserve">]</w:t>
      </w:r>
      <w:r>
        <w:rPr>
          <w:rtl/>
        </w:rPr>
        <w:t xml:space="preserve"> في مدينة </w:t>
      </w:r>
      <w:r>
        <w:rPr>
          <w:highlight w:val="yellow"/>
          <w:rtl/>
        </w:rPr>
        <w:t xml:space="preserve">[</w:t>
      </w:r>
      <w:r>
        <w:rPr>
          <w:highlight w:val="yellow"/>
          <w:rtl/>
        </w:rPr>
        <w:t xml:space="preserve">●</w:t>
      </w:r>
      <w:r>
        <w:rPr>
          <w:highlight w:val="yellow"/>
          <w:rtl/>
        </w:rPr>
        <w:t xml:space="preserve">]</w:t>
      </w:r>
      <w:r>
        <w:rPr>
          <w:rtl/>
        </w:rPr>
        <w:t xml:space="preserve"> بين </w:t>
      </w:r>
      <w:r>
        <w:rPr>
          <w:highlight w:val="yellow"/>
          <w:rtl/>
        </w:rPr>
        <w:t xml:space="preserve">[</w:t>
      </w:r>
      <w:r>
        <w:rPr>
          <w:highlight w:val="yellow"/>
          <w:rtl/>
        </w:rPr>
        <w:t xml:space="preserve">اسم البائع</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(«البائع») و</w:t>
      </w:r>
      <w:r>
        <w:rPr>
          <w:highlight w:val="yellow"/>
          <w:rtl/>
        </w:rPr>
        <w:t xml:space="preserve">[</w:t>
      </w:r>
      <w:r>
        <w:rPr>
          <w:highlight w:val="yellow"/>
          <w:rtl/>
        </w:rPr>
        <w:t xml:space="preserve">اسم المشتري</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(«المشتري»).</w:t>
      </w:r>
    </w:p>
    <w:p>
      <w:pPr>
        <w:pStyle w:val="Heading1"/>
        <w:bidi/>
      </w:pPr>
      <w:commentRangeStart w:id="0"/>
      <w:r>
        <w:rPr>
          <w:rtl/>
        </w:rPr>
        <w:t xml:space="preserve">البند (2): المبيع</w:t>
      </w:r>
      <w:commentRangeEnd w:id="0"/>
      <w:r>
        <w:rPr>
          <w:rtl/>
        </w:rPr>
        <w:commentReference w:id="0"/>
      </w:r>
    </w:p>
    <w:p>
      <w:pPr>
        <w:bidi/>
      </w:pPr>
      <w:r>
        <w:rPr>
          <w:highlight w:val="yellow"/>
          <w:rtl/>
        </w:rPr>
        <w:t xml:space="preserve">[</w:t>
      </w:r>
      <w:r>
        <w:rPr>
          <w:highlight w:val="yellow"/>
          <w:rtl/>
        </w:rPr>
        <w:t xml:space="preserve">الوصف والمواصفات والكمية والأرقام التسلسلية</w:t>
      </w:r>
      <w:r>
        <w:rPr>
          <w:highlight w:val="yellow"/>
          <w:rtl/>
        </w:rPr>
        <w:t xml:space="preserve">]</w:t>
      </w:r>
      <w:r>
        <w:rPr>
          <w:rtl/>
        </w:rPr>
        <w:t xml:space="preserve"> وفق الملحق (1).</w:t>
      </w:r>
    </w:p>
    <w:p>
      <w:pPr>
        <w:pStyle w:val="Heading1"/>
        <w:bidi/>
      </w:pPr>
      <w:commentRangeStart w:id="1"/>
      <w:r>
        <w:rPr>
          <w:rtl/>
        </w:rPr>
        <w:t xml:space="preserve">البند (3): الثمن</w:t>
      </w:r>
      <w:commentRangeEnd w:id="1"/>
      <w:r>
        <w:rPr>
          <w:rtl/>
        </w:rPr>
        <w:commentReference w:id="1"/>
      </w:r>
    </w:p>
    <w:p>
      <w:pPr>
        <w:bidi/>
      </w:pPr>
      <w:r>
        <w:rPr>
          <w:rtl/>
        </w:rPr>
        <w:t xml:space="preserve">الثمن </w:t>
      </w:r>
      <w:r>
        <w:rPr>
          <w:highlight w:val="yellow"/>
          <w:rtl/>
        </w:rPr>
        <w:t xml:space="preserve">[</w:t>
      </w:r>
      <w:r>
        <w:rPr>
          <w:highlight w:val="yellow"/>
          <w:rtl/>
        </w:rPr>
        <w:t xml:space="preserve">المبلغ والعملة</w:t>
      </w:r>
      <w:r>
        <w:rPr>
          <w:highlight w:val="yellow"/>
          <w:rtl/>
        </w:rPr>
        <w:t xml:space="preserve">]</w:t>
      </w:r>
      <w:r>
        <w:rPr>
          <w:rtl/>
        </w:rPr>
        <w:t xml:space="preserve">، </w:t>
      </w:r>
      <w:r>
        <w:rPr>
          <w:highlight w:val="yellow"/>
          <w:rtl/>
        </w:rPr>
        <w:t xml:space="preserve">[</w:t>
      </w:r>
      <w:r>
        <w:rPr>
          <w:highlight w:val="yellow"/>
          <w:rtl/>
        </w:rPr>
        <w:t xml:space="preserve">شاملاً/غير شامل</w:t>
      </w:r>
      <w:r>
        <w:rPr>
          <w:highlight w:val="yellow"/>
          <w:rtl/>
        </w:rPr>
        <w:t xml:space="preserve">]</w:t>
      </w:r>
      <w:r>
        <w:rPr>
          <w:rtl/>
        </w:rPr>
        <w:t xml:space="preserve"> ضريبة القيمة المضافة. والسداد: </w:t>
      </w:r>
      <w:r>
        <w:rPr>
          <w:highlight w:val="yellow"/>
          <w:rtl/>
        </w:rPr>
        <w:t xml:space="preserve">[</w:t>
      </w:r>
      <w:r>
        <w:rPr>
          <w:highlight w:val="yellow"/>
          <w:rtl/>
        </w:rPr>
        <w:t xml:space="preserve">دفعة واحدة عند التوقيع/أقساط قدرها ● في ●</w:t>
      </w:r>
      <w:r>
        <w:rPr>
          <w:highlight w:val="yellow"/>
          <w:rtl/>
        </w:rPr>
        <w:t xml:space="preserve">]</w:t>
      </w:r>
      <w:r>
        <w:rPr>
          <w:rtl/>
        </w:rPr>
        <w:t xml:space="preserve">.</w:t>
      </w:r>
    </w:p>
    <w:p>
      <w:pPr>
        <w:pStyle w:val="Heading1"/>
        <w:bidi/>
      </w:pPr>
      <w:commentRangeStart w:id="2"/>
      <w:r>
        <w:rPr>
          <w:rtl/>
        </w:rPr>
        <w:t xml:space="preserve">البند (4): التسليم</w:t>
      </w:r>
      <w:commentRangeEnd w:id="2"/>
      <w:r>
        <w:rPr>
          <w:rtl/>
        </w:rPr>
        <w:commentReference w:id="2"/>
      </w:r>
    </w:p>
    <w:p>
      <w:pPr>
        <w:bidi/>
      </w:pPr>
      <w:r>
        <w:rPr>
          <w:rtl/>
        </w:rPr>
        <w:t xml:space="preserve">يسلّم البائع المبيع في </w:t>
      </w:r>
      <w:r>
        <w:rPr>
          <w:highlight w:val="yellow"/>
          <w:rtl/>
        </w:rPr>
        <w:t xml:space="preserve">[</w:t>
      </w:r>
      <w:r>
        <w:rPr>
          <w:highlight w:val="yellow"/>
          <w:rtl/>
        </w:rPr>
        <w:t xml:space="preserve">المكان</w:t>
      </w:r>
      <w:r>
        <w:rPr>
          <w:highlight w:val="yellow"/>
          <w:rtl/>
        </w:rPr>
        <w:t xml:space="preserve">]</w:t>
      </w:r>
      <w:r>
        <w:rPr>
          <w:rtl/>
        </w:rPr>
        <w:t xml:space="preserve"> بتاريخ </w:t>
      </w:r>
      <w:r>
        <w:rPr>
          <w:highlight w:val="yellow"/>
          <w:rtl/>
        </w:rPr>
        <w:t xml:space="preserve">[</w:t>
      </w:r>
      <w:r>
        <w:rPr>
          <w:highlight w:val="yellow"/>
          <w:rtl/>
        </w:rPr>
        <w:t xml:space="preserve">●</w:t>
      </w:r>
      <w:r>
        <w:rPr>
          <w:highlight w:val="yellow"/>
          <w:rtl/>
        </w:rPr>
        <w:t xml:space="preserve">]</w:t>
      </w:r>
      <w:r>
        <w:rPr>
          <w:rtl/>
        </w:rPr>
        <w:t xml:space="preserve">، وتنتقل تبعة الهلاك إلى المشتري عند </w:t>
      </w:r>
      <w:r>
        <w:rPr>
          <w:highlight w:val="yellow"/>
          <w:rtl/>
        </w:rPr>
        <w:t xml:space="preserve">[</w:t>
      </w:r>
      <w:r>
        <w:rPr>
          <w:highlight w:val="yellow"/>
          <w:rtl/>
        </w:rPr>
        <w:t xml:space="preserve">التسليم/●</w:t>
      </w:r>
      <w:r>
        <w:rPr>
          <w:highlight w:val="yellow"/>
          <w:rtl/>
        </w:rPr>
        <w:t xml:space="preserve">]</w:t>
      </w:r>
      <w:r>
        <w:rPr>
          <w:rtl/>
        </w:rPr>
        <w:t xml:space="preserve">.</w:t>
      </w:r>
    </w:p>
    <w:p>
      <w:pPr>
        <w:pStyle w:val="Heading1"/>
        <w:bidi/>
      </w:pPr>
      <w:commentRangeStart w:id="3"/>
      <w:r>
        <w:rPr>
          <w:rtl/>
        </w:rPr>
        <w:t xml:space="preserve">البند (5): انتقال الملكية</w:t>
      </w:r>
      <w:commentRangeEnd w:id="3"/>
      <w:r>
        <w:rPr>
          <w:rtl/>
        </w:rPr>
        <w:commentReference w:id="3"/>
      </w:r>
    </w:p>
    <w:p>
      <w:pPr>
        <w:bidi/>
      </w:pPr>
      <w:r>
        <w:rPr>
          <w:rtl/>
        </w:rPr>
        <w:t xml:space="preserve">تنتقل الملكية عند </w:t>
      </w:r>
      <w:r>
        <w:rPr>
          <w:highlight w:val="yellow"/>
          <w:rtl/>
        </w:rPr>
        <w:t xml:space="preserve">[</w:t>
      </w:r>
      <w:r>
        <w:rPr>
          <w:highlight w:val="yellow"/>
          <w:rtl/>
        </w:rPr>
        <w:t xml:space="preserve">التسليم/سداد كامل الثمن</w:t>
      </w:r>
      <w:r>
        <w:rPr>
          <w:highlight w:val="yellow"/>
          <w:rtl/>
        </w:rPr>
        <w:t xml:space="preserve">]</w:t>
      </w:r>
      <w:r>
        <w:rPr>
          <w:rtl/>
        </w:rPr>
        <w:t xml:space="preserve">، ويضمن البائع أنه مالك المبيع وأنه خالٍ من حقوق الغير.</w:t>
      </w:r>
    </w:p>
    <w:p>
      <w:pPr>
        <w:pStyle w:val="Heading1"/>
        <w:bidi/>
      </w:pPr>
      <w:r>
        <w:rPr>
          <w:rtl/>
        </w:rPr>
        <w:t xml:space="preserve">البند (6): الفحص والقبول</w:t>
      </w:r>
    </w:p>
    <w:p>
      <w:pPr>
        <w:bidi/>
      </w:pPr>
      <w:r>
        <w:rPr>
          <w:rtl/>
        </w:rPr>
        <w:t xml:space="preserve">يفحص المشتري المبيع خلال </w:t>
      </w:r>
      <w:r>
        <w:rPr>
          <w:highlight w:val="yellow"/>
          <w:rtl/>
        </w:rPr>
        <w:t xml:space="preserve">[</w:t>
      </w:r>
      <w:r>
        <w:rPr>
          <w:highlight w:val="yellow"/>
          <w:rtl/>
        </w:rPr>
        <w:t xml:space="preserve">●</w:t>
      </w:r>
      <w:r>
        <w:rPr>
          <w:highlight w:val="yellow"/>
          <w:rtl/>
        </w:rPr>
        <w:t xml:space="preserve">]</w:t>
      </w:r>
      <w:r>
        <w:rPr>
          <w:rtl/>
        </w:rPr>
        <w:t xml:space="preserve"> أيام من تسلّمه، ويُخطر البائع كتابةً بأي عيب خلال هذه المدة.</w:t>
      </w:r>
    </w:p>
    <w:p>
      <w:pPr>
        <w:pStyle w:val="Heading1"/>
        <w:bidi/>
      </w:pPr>
      <w:commentRangeStart w:id="4"/>
      <w:r>
        <w:rPr>
          <w:rtl/>
        </w:rPr>
        <w:t xml:space="preserve">البند (7): الضمان</w:t>
      </w:r>
      <w:commentRangeEnd w:id="4"/>
      <w:r>
        <w:rPr>
          <w:rtl/>
        </w:rPr>
        <w:commentReference w:id="4"/>
      </w:r>
    </w:p>
    <w:p>
      <w:pPr>
        <w:bidi/>
      </w:pPr>
      <w:r>
        <w:rPr>
          <w:rtl/>
        </w:rPr>
        <w:t xml:space="preserve">يضمن البائع المبيع ضد عيوب المواد والصناعة لمدة </w:t>
      </w:r>
      <w:r>
        <w:rPr>
          <w:highlight w:val="yellow"/>
          <w:rtl/>
        </w:rPr>
        <w:t xml:space="preserve">[</w:t>
      </w:r>
      <w:r>
        <w:rPr>
          <w:highlight w:val="yellow"/>
          <w:rtl/>
        </w:rPr>
        <w:t xml:space="preserve">●</w:t>
      </w:r>
      <w:r>
        <w:rPr>
          <w:highlight w:val="yellow"/>
          <w:rtl/>
        </w:rPr>
        <w:t xml:space="preserve">]</w:t>
      </w:r>
      <w:r>
        <w:rPr>
          <w:rtl/>
        </w:rPr>
        <w:t xml:space="preserve"> شهراً من تاريخ التسليم، دون إخلال بالحقوق المقررة للمشتري في النظام المعمول به.</w:t>
      </w:r>
    </w:p>
    <w:p>
      <w:pPr>
        <w:pStyle w:val="Heading1"/>
        <w:bidi/>
      </w:pPr>
      <w:commentRangeStart w:id="5"/>
      <w:r>
        <w:rPr>
          <w:rtl/>
        </w:rPr>
        <w:t xml:space="preserve">البند (8): الإخلال والشرط الجزائي</w:t>
      </w:r>
      <w:commentRangeEnd w:id="5"/>
      <w:r>
        <w:rPr>
          <w:rtl/>
        </w:rPr>
        <w:commentReference w:id="5"/>
      </w:r>
    </w:p>
    <w:p>
      <w:pPr>
        <w:bidi/>
      </w:pPr>
      <w:r>
        <w:rPr>
          <w:b/>
          <w:bCs/>
          <w:rtl/>
        </w:rPr>
        <w:t xml:space="preserve">خيار:</w:t>
      </w:r>
      <w:r>
        <w:rPr>
          <w:rtl/>
        </w:rPr>
        <w:t xml:space="preserve"> يلتزم الطرف المتأخر بغرامة قدرها </w:t>
      </w:r>
      <w:r>
        <w:rPr>
          <w:highlight w:val="yellow"/>
          <w:rtl/>
        </w:rPr>
        <w:t xml:space="preserve">[</w:t>
      </w:r>
      <w:r>
        <w:rPr>
          <w:highlight w:val="yellow"/>
          <w:rtl/>
        </w:rPr>
        <w:t xml:space="preserve">●</w:t>
      </w:r>
      <w:r>
        <w:rPr>
          <w:highlight w:val="yellow"/>
          <w:rtl/>
        </w:rPr>
        <w:t xml:space="preserve">]</w:t>
      </w:r>
      <w:r>
        <w:rPr>
          <w:rtl/>
        </w:rPr>
        <w:t xml:space="preserve"> عن كل </w:t>
      </w:r>
      <w:r>
        <w:rPr>
          <w:highlight w:val="yellow"/>
          <w:rtl/>
        </w:rPr>
        <w:t xml:space="preserve">[</w:t>
      </w:r>
      <w:r>
        <w:rPr>
          <w:highlight w:val="yellow"/>
          <w:rtl/>
        </w:rPr>
        <w:t xml:space="preserve">يوم/أسبوع</w:t>
      </w:r>
      <w:r>
        <w:rPr>
          <w:highlight w:val="yellow"/>
          <w:rtl/>
        </w:rPr>
        <w:t xml:space="preserve">]</w:t>
      </w:r>
      <w:r>
        <w:rPr>
          <w:rtl/>
        </w:rPr>
        <w:t xml:space="preserve"> تأخير بحد أقصى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6"/>
      <w:r>
        <w:rPr>
          <w:rtl/>
        </w:rPr>
        <w:t xml:space="preserve">البند (9): القوة القاهرة</w:t>
      </w:r>
      <w:commentRangeEnd w:id="6"/>
      <w:r>
        <w:rPr>
          <w:rtl/>
        </w:rPr>
        <w:commentReference w:id="6"/>
      </w:r>
    </w:p>
    <w:p>
      <w:pPr>
        <w:bidi/>
      </w:pPr>
      <w:r>
        <w:rPr>
          <w:rtl/>
        </w:rPr>
        <w:t xml:space="preserve">لا يُسأل أي طرف عن تأخر أو تخلّف سببه حادث خارج عن إرادته المعقولة، إذا أخطر الطرف الآخر كتابةً فور علمه وبذل جهداً معقولاً للحد من أثره. ثم يتفق الطرفان كتابةً على كيفية استمرار العقد: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7"/>
      <w:r>
        <w:rPr>
          <w:rtl/>
        </w:rPr>
        <w:t xml:space="preserve">البند (10): النظام الواجب التطبيق وتسوية النزاعات</w:t>
      </w:r>
      <w:commentRangeEnd w:id="7"/>
      <w:r>
        <w:rPr>
          <w:rtl/>
        </w:rPr>
        <w:commentReference w:id="7"/>
      </w:r>
    </w:p>
    <w:p>
      <w:pPr>
        <w:bidi/>
      </w:pPr>
      <w:r>
        <w:rPr>
          <w:rtl/>
        </w:rPr>
        <w:t xml:space="preserve">يخضع هذا العقد لأنظمة </w:t>
      </w:r>
      <w:r>
        <w:rPr>
          <w:highlight w:val="yellow"/>
          <w:rtl/>
        </w:rPr>
        <w:t xml:space="preserve">[</w:t>
      </w:r>
      <w:r>
        <w:rPr>
          <w:highlight w:val="yellow"/>
          <w:rtl/>
        </w:rPr>
        <w:t xml:space="preserve">الدولة</w:t>
      </w:r>
      <w:r>
        <w:rPr>
          <w:highlight w:val="yellow"/>
          <w:rtl/>
        </w:rPr>
        <w:t xml:space="preserve">]</w:t>
      </w:r>
      <w:r>
        <w:rPr>
          <w:rtl/>
        </w:rPr>
        <w:t xml:space="preserve">، وتُحال نزاعاته إلى </w:t>
      </w:r>
      <w:r>
        <w:rPr>
          <w:highlight w:val="yellow"/>
          <w:rtl/>
        </w:rPr>
        <w:t xml:space="preserve">[</w:t>
      </w:r>
      <w:r>
        <w:rPr>
          <w:highlight w:val="yellow"/>
          <w:rtl/>
        </w:rPr>
        <w:t xml:space="preserve">محاكم ●/التحكيم وفق ●</w:t>
      </w:r>
      <w:r>
        <w:rPr>
          <w:highlight w:val="yellow"/>
          <w:rtl/>
        </w:rPr>
        <w:t xml:space="preserve">]</w:t>
      </w:r>
      <w:r>
        <w:rPr>
          <w:rtl/>
        </w:rPr>
        <w:t xml:space="preserve">.</w:t>
      </w:r>
    </w:p>
    <w:p>
      <w:pPr>
        <w:pStyle w:val="Heading1"/>
        <w:bidi/>
      </w:pPr>
      <w:r>
        <w:rPr>
          <w:rtl/>
        </w:rPr>
        <w:t xml:space="preserve">البند (11): اللغة والنسخ والتوقيع</w:t>
      </w:r>
    </w:p>
    <w:p>
      <w:pPr>
        <w:bidi/>
      </w:pPr>
      <w:r>
        <w:rPr>
          <w:rtl/>
        </w:rPr>
        <w:t xml:space="preserve">يُعتمد النص العربي عند التعارض، وحُرِّر هذا العقد من نسختين، لكل طرف نسخة.</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البائع:</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المشتري: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للمملكة العربية السعودية</w:t>
      </w:r>
    </w:p>
    <w:p>
      <w:pPr>
        <w:bidi/>
      </w:pPr>
      <w:r>
        <w:rPr>
          <w:rtl/>
        </w:rPr>
        <w:t xml:space="preserve">نظام المعاملات المدنية الصادر بالمرسوم الملكي رقم (م/191) وتاريخ 29/11/1444هـ، كما هو منشور في بوابة الأنظمة بوزارة العدل. وبيع العقار خارج هذا النموذج.</w:t>
      </w:r>
      <w:r>
        <w:rPr>
          <w:rtl/>
        </w:rPr>
        <w:t xml:space="preserve"> [1][2][3]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يسنده النص الرسمي</w:t>
            </w:r>
          </w:p>
        </w:tc>
      </w:tr>
      <w:tr>
        <w:trPr>
          <w:cantSplit/>
        </w:trPr>
        <w:tc>
          <w:tcPr>
            <w:tcMar>
              <w:top w:type="dxa" w:w="80"/>
              <w:left w:type="dxa" w:w="100"/>
              <w:bottom w:type="dxa" w:w="80"/>
              <w:right w:type="dxa" w:w="100"/>
            </w:tcMar>
          </w:tcPr>
          <w:p>
            <w:pPr>
              <w:bidi/>
              <w:spacing w:after="0"/>
            </w:pPr>
            <w:r>
              <w:rPr>
                <w:b w:val="false"/>
                <w:sz w:val="18"/>
                <w:szCs w:val="18"/>
                <w:rtl/>
              </w:rPr>
              <w:t xml:space="preserve">المبيع</w:t>
            </w:r>
          </w:p>
        </w:tc>
        <w:tc>
          <w:tcPr>
            <w:tcMar>
              <w:top w:type="dxa" w:w="80"/>
              <w:left w:type="dxa" w:w="100"/>
              <w:bottom w:type="dxa" w:w="80"/>
              <w:right w:type="dxa" w:w="100"/>
            </w:tcMar>
          </w:tcPr>
          <w:p>
            <w:pPr>
              <w:bidi/>
              <w:spacing w:after="0"/>
            </w:pPr>
            <w:r>
              <w:rPr>
                <w:b w:val="false"/>
                <w:sz w:val="18"/>
                <w:szCs w:val="18"/>
                <w:rtl/>
              </w:rPr>
              <w:t xml:space="preserve">يجب أن يكون المبيع معلوماً للمشتري (المادة 308).</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الثمن</w:t>
            </w:r>
          </w:p>
        </w:tc>
        <w:tc>
          <w:tcPr>
            <w:tcMar>
              <w:top w:type="dxa" w:w="80"/>
              <w:left w:type="dxa" w:w="100"/>
              <w:bottom w:type="dxa" w:w="80"/>
              <w:right w:type="dxa" w:w="100"/>
            </w:tcMar>
          </w:tcPr>
          <w:p>
            <w:pPr>
              <w:bidi/>
              <w:spacing w:after="0"/>
            </w:pPr>
            <w:r>
              <w:rPr>
                <w:b w:val="false"/>
                <w:sz w:val="18"/>
                <w:szCs w:val="18"/>
                <w:rtl/>
              </w:rPr>
              <w:t xml:space="preserve">يُستحق الثمن فوراً ما لم يُتفق على تأجيله (المادة 317).</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بيع ملك الغير</w:t>
            </w:r>
          </w:p>
        </w:tc>
        <w:tc>
          <w:tcPr>
            <w:tcMar>
              <w:top w:type="dxa" w:w="80"/>
              <w:left w:type="dxa" w:w="100"/>
              <w:bottom w:type="dxa" w:w="80"/>
              <w:right w:type="dxa" w:w="100"/>
            </w:tcMar>
          </w:tcPr>
          <w:p>
            <w:pPr>
              <w:bidi/>
              <w:spacing w:after="0"/>
            </w:pPr>
            <w:r>
              <w:rPr>
                <w:b w:val="false"/>
                <w:sz w:val="18"/>
                <w:szCs w:val="18"/>
                <w:rtl/>
              </w:rPr>
              <w:t xml:space="preserve">تتناوله المادة 359 من نظام المعاملات المدنية.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العقار</w:t>
            </w:r>
          </w:p>
        </w:tc>
        <w:tc>
          <w:tcPr>
            <w:tcMar>
              <w:top w:type="dxa" w:w="80"/>
              <w:left w:type="dxa" w:w="100"/>
              <w:bottom w:type="dxa" w:w="80"/>
              <w:right w:type="dxa" w:w="100"/>
            </w:tcMar>
          </w:tcPr>
          <w:p>
            <w:pPr>
              <w:bidi/>
              <w:spacing w:after="0"/>
            </w:pPr>
            <w:r>
              <w:rPr>
                <w:b w:val="false"/>
                <w:sz w:val="18"/>
                <w:szCs w:val="18"/>
                <w:rtl/>
              </w:rPr>
              <w:t xml:space="preserve">تُقيَّد ملكية العقار في السجل العقاري، فبيع العقار خارج هذا النموذج.</w:t>
            </w:r>
            <w:r>
              <w:rPr>
                <w:b w:val="false"/>
                <w:sz w:val="18"/>
                <w:szCs w:val="18"/>
                <w:rtl/>
              </w:rPr>
              <w:t xml:space="preserve"> [2][3]</w:t>
            </w:r>
          </w:p>
        </w:tc>
      </w:tr>
    </w:tbl>
    <w:p>
      <w:pPr>
        <w:bidi/>
      </w:pPr>
    </w:p>
    <w:p>
      <w:pPr>
        <w:pStyle w:val="Heading1"/>
        <w:pageBreakBefore/>
        <w:bidi/>
      </w:pPr>
      <w:r>
        <w:rPr>
          <w:rtl/>
        </w:rPr>
        <w:t xml:space="preserve">ملاحظات للإمارات العربية المتحدة</w:t>
      </w:r>
    </w:p>
    <w:p>
      <w:pPr>
        <w:bidi/>
      </w:pPr>
      <w:r>
        <w:rPr>
          <w:rtl/>
        </w:rPr>
        <w:t xml:space="preserve">بموجب قانون المعاملات المدنية (المرسوم بقانون اتحادي رقم 25 لسنة 2025، ويُعمل به من 1 يونيو 2026). ولا يورد هذا الملحق أرقام مواد.</w:t>
      </w:r>
      <w:r>
        <w:rPr>
          <w:rtl/>
        </w:rPr>
        <w:t xml:space="preserve"> [5][6]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النظام المدني</w:t>
            </w:r>
          </w:p>
        </w:tc>
        <w:tc>
          <w:tcPr>
            <w:tcMar>
              <w:top w:type="dxa" w:w="80"/>
              <w:left w:type="dxa" w:w="100"/>
              <w:bottom w:type="dxa" w:w="80"/>
              <w:right w:type="dxa" w:w="100"/>
            </w:tcMar>
          </w:tcPr>
          <w:p>
            <w:pPr>
              <w:bidi/>
              <w:spacing w:after="0"/>
            </w:pPr>
            <w:r>
              <w:rPr>
                <w:b w:val="false"/>
                <w:sz w:val="18"/>
                <w:szCs w:val="18"/>
                <w:rtl/>
              </w:rPr>
              <w:t xml:space="preserve">يُطبَّق المرسوم بقانون اتحادي رقم (25) لسنة 2025. ويعرض محامٍ مرخّص في الإمارات بنود الضمان والتسليم والشرط الجزائي عليه.</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موضع النشر</w:t>
            </w:r>
          </w:p>
        </w:tc>
        <w:tc>
          <w:tcPr>
            <w:tcMar>
              <w:top w:type="dxa" w:w="80"/>
              <w:left w:type="dxa" w:w="100"/>
              <w:bottom w:type="dxa" w:w="80"/>
              <w:right w:type="dxa" w:w="100"/>
            </w:tcMar>
          </w:tcPr>
          <w:p>
            <w:pPr>
              <w:bidi/>
              <w:spacing w:after="0"/>
            </w:pPr>
            <w:r>
              <w:rPr>
                <w:b w:val="false"/>
                <w:sz w:val="18"/>
                <w:szCs w:val="18"/>
                <w:rtl/>
              </w:rPr>
              <w:t xml:space="preserve">تُنشر التشريعات الاتحادية في منصة تشريعات الإمارات.</w:t>
            </w:r>
            <w:r>
              <w:rPr>
                <w:b w:val="false"/>
                <w:sz w:val="18"/>
                <w:szCs w:val="18"/>
                <w:rtl/>
              </w:rPr>
              <w:t xml:space="preserve"> [6]</w:t>
            </w:r>
          </w:p>
        </w:tc>
      </w:tr>
      <w:tr>
        <w:trPr>
          <w:cantSplit/>
        </w:trPr>
        <w:tc>
          <w:tcPr>
            <w:tcMar>
              <w:top w:type="dxa" w:w="80"/>
              <w:left w:type="dxa" w:w="100"/>
              <w:bottom w:type="dxa" w:w="80"/>
              <w:right w:type="dxa" w:w="100"/>
            </w:tcMar>
          </w:tcPr>
          <w:p>
            <w:pPr>
              <w:bidi/>
              <w:spacing w:after="0"/>
            </w:pPr>
            <w:r>
              <w:rPr>
                <w:b w:val="false"/>
                <w:sz w:val="18"/>
                <w:szCs w:val="18"/>
                <w:rtl/>
              </w:rPr>
              <w:t xml:space="preserve">العقار في دبي</w:t>
            </w:r>
          </w:p>
        </w:tc>
        <w:tc>
          <w:tcPr>
            <w:tcMar>
              <w:top w:type="dxa" w:w="80"/>
              <w:left w:type="dxa" w:w="100"/>
              <w:bottom w:type="dxa" w:w="80"/>
              <w:right w:type="dxa" w:w="100"/>
            </w:tcMar>
          </w:tcPr>
          <w:p>
            <w:pPr>
              <w:bidi/>
              <w:spacing w:after="0"/>
            </w:pPr>
            <w:r>
              <w:rPr>
                <w:b w:val="false"/>
                <w:sz w:val="18"/>
                <w:szCs w:val="18"/>
                <w:rtl/>
              </w:rPr>
              <w:t xml:space="preserve">يُسجَّل العقار وفق القانون رقم (7) لسنة 2006، ولا يُستخدم هذا النموذج لبيعه.</w:t>
            </w:r>
            <w:r>
              <w:rPr>
                <w:b w:val="false"/>
                <w:sz w:val="18"/>
                <w:szCs w:val="18"/>
                <w:rtl/>
              </w:rPr>
              <w:t xml:space="preserve"> [4]</w:t>
            </w:r>
          </w:p>
        </w:tc>
      </w:tr>
    </w:tbl>
    <w:p>
      <w:pPr>
        <w:bidi/>
      </w:pPr>
    </w:p>
    <w:p>
      <w:pPr>
        <w:pStyle w:val="Heading1"/>
        <w:pageBreakBefore/>
        <w:bidi/>
      </w:pPr>
      <w:r>
        <w:rPr>
          <w:rtl/>
        </w:rPr>
        <w:t xml:space="preserve">الملحق (1): المبيع</w:t>
      </w:r>
    </w:p>
    <w:p>
      <w:pPr>
        <w:bidi/>
      </w:pPr>
      <w:r>
        <w:rPr>
          <w:rtl/>
        </w:rPr>
        <w:t xml:space="preserve">يُوصف كل بند وصفاً يمكن للمشتري أن يتعيّن به المبيع. وأضيفوا صفوفاً بحسب الحاجة.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الوصف</w:t>
            </w:r>
          </w:p>
        </w:tc>
        <w:tc>
          <w:tcPr>
            <w:shd w:fill="EDEDED" w:color="auto" w:val="clear"/>
            <w:tcMar>
              <w:top w:type="dxa" w:w="80"/>
              <w:left w:type="dxa" w:w="100"/>
              <w:bottom w:type="dxa" w:w="80"/>
              <w:right w:type="dxa" w:w="100"/>
            </w:tcMar>
          </w:tcPr>
          <w:p>
            <w:pPr>
              <w:bidi/>
              <w:spacing w:after="0"/>
            </w:pPr>
            <w:r>
              <w:rPr>
                <w:b/>
                <w:bCs/>
                <w:sz w:val="18"/>
                <w:szCs w:val="18"/>
                <w:rtl/>
              </w:rPr>
              <w:t xml:space="preserve">الكمية</w:t>
            </w:r>
          </w:p>
        </w:tc>
        <w:tc>
          <w:tcPr>
            <w:shd w:fill="EDEDED" w:color="auto" w:val="clear"/>
            <w:tcMar>
              <w:top w:type="dxa" w:w="80"/>
              <w:left w:type="dxa" w:w="100"/>
              <w:bottom w:type="dxa" w:w="80"/>
              <w:right w:type="dxa" w:w="100"/>
            </w:tcMar>
          </w:tcPr>
          <w:p>
            <w:pPr>
              <w:bidi/>
              <w:spacing w:after="0"/>
            </w:pPr>
            <w:r>
              <w:rPr>
                <w:b/>
                <w:bCs/>
                <w:sz w:val="18"/>
                <w:szCs w:val="18"/>
                <w:rtl/>
              </w:rPr>
              <w:t xml:space="preserve">الرقم التسلسلي</w:t>
            </w:r>
          </w:p>
        </w:tc>
        <w:tc>
          <w:tcPr>
            <w:shd w:fill="EDEDED" w:color="auto" w:val="clear"/>
            <w:tcMar>
              <w:top w:type="dxa" w:w="80"/>
              <w:left w:type="dxa" w:w="100"/>
              <w:bottom w:type="dxa" w:w="80"/>
              <w:right w:type="dxa" w:w="100"/>
            </w:tcMar>
          </w:tcPr>
          <w:p>
            <w:pPr>
              <w:bidi/>
              <w:spacing w:after="0"/>
            </w:pPr>
            <w:r>
              <w:rPr>
                <w:b/>
                <w:bCs/>
                <w:sz w:val="18"/>
                <w:szCs w:val="18"/>
                <w:rtl/>
              </w:rPr>
              <w:t xml:space="preserve">سعر الوحدة</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الوصف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الوصف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الوصف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pu8zyukyhfwc4ruelvvpv">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‪https://www.qanu.ai/ar/نماذج/نموذج-عقد-بيع‬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بوابة الأنظمة بوزارة العدل، نظام المعاملات المدنية الصادر بالمرسوم الملكي رقم (م/191) وتاريخ 29/11/1444هـ </w:t>
      </w:r>
      <w:hyperlink w:history="1" r:id="rIdvjfloo4uqno7kuqbus-ex">
        <w:r>
          <w:rPr>
            <w:rStyle w:val="Hyperlink"/>
            <w:sz w:val="16"/>
            <w:szCs w:val="16"/>
          </w:rPr>
          <w:t xml:space="preserve">https://laws.moj.gov.sa/ar/legislation/PBbHmywh1XMp-Kyv3NtQLg</w:t>
        </w:r>
      </w:hyperlink>
    </w:p>
    <w:p>
      <w:pPr>
        <w:bidi/>
        <w:ind w:start="360" w:hanging="360"/>
      </w:pPr>
      <w:r>
        <w:rPr>
          <w:sz w:val="18"/>
          <w:szCs w:val="18"/>
          <w:rtl/>
        </w:rPr>
        <w:t xml:space="preserve">[2] بوابة الأنظمة بوزارة العدل، نظام التسجيل العيني للعقار </w:t>
      </w:r>
      <w:hyperlink w:history="1" r:id="rIdsxei15axkgw8zfrp9s7ke">
        <w:r>
          <w:rPr>
            <w:rStyle w:val="Hyperlink"/>
            <w:sz w:val="16"/>
            <w:szCs w:val="16"/>
          </w:rPr>
          <w:t xml:space="preserve">https://laws.moj.gov.sa/ar/legislation/R6fIk9qPUhuhF88Guk0ElQ</w:t>
        </w:r>
      </w:hyperlink>
    </w:p>
    <w:p>
      <w:pPr>
        <w:bidi/>
        <w:ind w:start="360" w:hanging="360"/>
      </w:pPr>
      <w:r>
        <w:rPr>
          <w:sz w:val="18"/>
          <w:szCs w:val="18"/>
          <w:rtl/>
        </w:rPr>
        <w:t xml:space="preserve">[3] السجل العقاري، تسجيل العقار ونقل الملكية </w:t>
      </w:r>
      <w:hyperlink w:history="1" r:id="rIdppygotccxl10xuekpk7h1">
        <w:r>
          <w:rPr>
            <w:rStyle w:val="Hyperlink"/>
            <w:sz w:val="16"/>
            <w:szCs w:val="16"/>
          </w:rPr>
          <w:t xml:space="preserve">https://rer.sa/</w:t>
        </w:r>
      </w:hyperlink>
    </w:p>
    <w:p>
      <w:pPr>
        <w:bidi/>
        <w:ind w:start="360" w:hanging="360"/>
      </w:pPr>
      <w:r>
        <w:rPr>
          <w:sz w:val="18"/>
          <w:szCs w:val="18"/>
          <w:rtl/>
        </w:rPr>
        <w:t xml:space="preserve">[4] بوابة تشريعات دبي، القانون رقم (7) لسنة 2006 بشأن تسجيل العقارات في إمارة دبي (PDF) </w:t>
      </w:r>
      <w:hyperlink w:history="1" r:id="rIdo8e2vf-vhfr251cddz4vc">
        <w:r>
          <w:rPr>
            <w:rStyle w:val="Hyperlink"/>
            <w:sz w:val="16"/>
            <w:szCs w:val="16"/>
          </w:rPr>
          <w:t xml:space="preserve">https://dlp.dubai.gov.ae/Legislation%20Reference/2006/Law%20No.%20(7)%20of%202006.pdf</w:t>
        </w:r>
      </w:hyperlink>
    </w:p>
    <w:p>
      <w:pPr>
        <w:bidi/>
        <w:ind w:start="360" w:hanging="360"/>
      </w:pPr>
      <w:r>
        <w:rPr>
          <w:sz w:val="18"/>
          <w:szCs w:val="18"/>
          <w:rtl/>
        </w:rPr>
        <w:t xml:space="preserve">[5] تشريعات الإمارات، مرسوم بقانون اتحادي رقم (25) لسنة 2025 (قانون المعاملات المدنية) </w:t>
      </w:r>
      <w:hyperlink w:history="1" r:id="rIdrk4tx1n5aqa-9y_5jzzpp">
        <w:r>
          <w:rPr>
            <w:rStyle w:val="Hyperlink"/>
            <w:sz w:val="16"/>
            <w:szCs w:val="16"/>
          </w:rPr>
          <w:t xml:space="preserve">https://uaelegislation.gov.ae/en/legislations/4011</w:t>
        </w:r>
      </w:hyperlink>
    </w:p>
    <w:p>
      <w:pPr>
        <w:bidi/>
        <w:ind w:start="360" w:hanging="360"/>
      </w:pPr>
      <w:r>
        <w:rPr>
          <w:sz w:val="18"/>
          <w:szCs w:val="18"/>
          <w:rtl/>
        </w:rPr>
        <w:t xml:space="preserve">[6] البوابة الرسمية لحكومة الإمارات (u.ae)، أين تُنشر القوانين الاتحادية </w:t>
      </w:r>
      <w:hyperlink w:history="1" r:id="rIdvdqua2ew_rdza8ypdzhhv">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في المملكة العربية السعودية يجب أن يكون المبيع معلوماً للمشتري (نظام المعاملات المدنية، المادة 308). فصِفوا المبيع وصفاً نافياً للجهالة: نوعه وكميته ومواصفاته وأرقامه التسلسلية.</w:t>
      </w:r>
      <w:r>
        <w:rPr>
          <w:rtl/>
        </w:rPr>
        <w:t xml:space="preserve"> [1]</w:t>
      </w:r>
    </w:p>
  </w:comment>
  <w:comment w:id="1" w:initials="Q" w:author="Qanu" w:date="2026-10-17T00:00:00.000Z">
    <w:p>
      <w:pPr>
        <w:bidi/>
      </w:pPr>
      <w:r>
        <w:rPr>
          <w:b/>
          <w:bCs/>
          <w:rtl/>
        </w:rPr>
        <w:t xml:space="preserve">ملاحظة صياغة</w:t>
      </w:r>
    </w:p>
    <w:p>
      <w:pPr>
        <w:bidi/>
      </w:pPr>
      <w:r>
        <w:rPr>
          <w:rtl/>
        </w:rPr>
        <w:t xml:space="preserve">في المملكة يُستحق الثمن فور البيع ما لم يُتفق على تأجيله (المادة 317).</w:t>
      </w:r>
      <w:r>
        <w:rPr>
          <w:rtl/>
        </w:rPr>
        <w:t xml:space="preserve"> [1]</w:t>
      </w:r>
      <w:r>
        <w:rPr>
          <w:rtl/>
        </w:rPr>
        <w:t xml:space="preserve"> ولا تُثبّتوا نسبة الضريبة في النموذج؛ تُذكر النسبة النافذة في الفاتورة.</w:t>
      </w:r>
    </w:p>
  </w:comment>
  <w:comment w:id="2" w:initials="Q" w:author="Qanu" w:date="2026-10-17T00:00:00.000Z">
    <w:p>
      <w:pPr>
        <w:bidi/>
      </w:pPr>
      <w:r>
        <w:rPr>
          <w:b/>
          <w:bCs/>
          <w:rtl/>
        </w:rPr>
        <w:t xml:space="preserve">ملاحظة صياغة</w:t>
      </w:r>
    </w:p>
    <w:p>
      <w:pPr>
        <w:bidi/>
      </w:pPr>
      <w:r>
        <w:rPr>
          <w:rtl/>
        </w:rPr>
        <w:t xml:space="preserve">بيّنوا متى تنتقل تبعة الهلاك. والأحكام التكميلية تختلف من دولة إلى أخرى، فلا تتركوا هذا الموضع فارغاً.</w:t>
      </w:r>
    </w:p>
  </w:comment>
  <w:comment w:id="3" w:initials="Q" w:author="Qanu" w:date="2026-10-17T00:00:00.000Z">
    <w:p>
      <w:pPr>
        <w:bidi/>
      </w:pPr>
      <w:r>
        <w:rPr>
          <w:b/>
          <w:bCs/>
          <w:rtl/>
        </w:rPr>
        <w:t xml:space="preserve">ملاحظة صياغة</w:t>
      </w:r>
    </w:p>
    <w:p>
      <w:pPr>
        <w:bidi/>
      </w:pPr>
      <w:r>
        <w:rPr>
          <w:rtl/>
        </w:rPr>
        <w:t xml:space="preserve">في المملكة تتناول المادة 359 من نظام المعاملات المدنية بيع ملك الغير.</w:t>
      </w:r>
      <w:r>
        <w:rPr>
          <w:rtl/>
        </w:rPr>
        <w:t xml:space="preserve"> [1]</w:t>
      </w:r>
      <w:r>
        <w:rPr>
          <w:rtl/>
        </w:rPr>
        <w:t xml:space="preserve"> فليكن البائع مالكاً، أو فليُفصح عن سند بيعه.</w:t>
      </w:r>
    </w:p>
  </w:comment>
  <w:comment w:id="4" w:initials="Q" w:author="Qanu" w:date="2026-10-17T00:00:00.000Z">
    <w:p>
      <w:pPr>
        <w:bidi/>
      </w:pPr>
      <w:r>
        <w:rPr>
          <w:b/>
          <w:bCs/>
          <w:rtl/>
        </w:rPr>
        <w:t xml:space="preserve">ملاحظة صياغة</w:t>
      </w:r>
    </w:p>
    <w:p>
      <w:pPr>
        <w:bidi/>
      </w:pPr>
      <w:r>
        <w:rPr>
          <w:rtl/>
        </w:rPr>
        <w:t xml:space="preserve">في الإمارات قانون المعاملات المدنية هو المرسوم بقانون اتحادي رقم (25) لسنة 2025، ويُعمل به من 1 يونيو 2026، ولا يورد هذا النموذج أرقام مواد منه.</w:t>
      </w:r>
      <w:r>
        <w:rPr>
          <w:rtl/>
        </w:rPr>
        <w:t xml:space="preserve"> [5][6]</w:t>
      </w:r>
    </w:p>
  </w:comment>
  <w:comment w:id="5" w:initials="Q" w:author="Qanu" w:date="2026-10-17T00:00:00.000Z">
    <w:p>
      <w:pPr>
        <w:bidi/>
      </w:pPr>
      <w:r>
        <w:rPr>
          <w:b/>
          <w:bCs/>
          <w:rtl/>
        </w:rPr>
        <w:t xml:space="preserve">ملاحظة صياغة</w:t>
      </w:r>
    </w:p>
    <w:p>
      <w:pPr>
        <w:bidi/>
      </w:pPr>
      <w:r>
        <w:rPr>
          <w:rtl/>
        </w:rPr>
        <w:t xml:space="preserve">انظروا </w:t>
      </w:r>
      <w:hyperlink w:history="1" r:id="rIdeptbu8x7cwbas9re78tca">
        <w:r>
          <w:rPr>
            <w:rStyle w:val="Hyperlink"/>
            <w:rtl/>
          </w:rPr>
          <w:t xml:space="preserve">الشرط الجزائي</w:t>
        </w:r>
      </w:hyperlink>
      <w:r>
        <w:rPr>
          <w:rtl/>
        </w:rPr>
        <w:t xml:space="preserve"> في المسرد. واستشيروا محامياً قبل الاتفاق على مبلغ معيّن؛ فهذا النموذج لا يبيّن ما إذا كان للمحكمة تعديلُه. وفي الإمارات لا تُذكر أرقام مواد من المرسوم بقانون اتحادي رقم (25) لسنة 2025.</w:t>
      </w:r>
      <w:r>
        <w:rPr>
          <w:rtl/>
        </w:rPr>
        <w:t xml:space="preserve"> [5]</w:t>
      </w:r>
    </w:p>
  </w:comment>
  <w:comment w:id="6" w:initials="Q" w:author="Qanu" w:date="2026-10-17T00:00:00.000Z">
    <w:p>
      <w:pPr>
        <w:bidi/>
      </w:pPr>
      <w:r>
        <w:rPr>
          <w:b/>
          <w:bCs/>
          <w:rtl/>
        </w:rPr>
        <w:t xml:space="preserve">ملاحظة صياغة</w:t>
      </w:r>
    </w:p>
    <w:p>
      <w:pPr>
        <w:bidi/>
      </w:pPr>
      <w:r>
        <w:rPr>
          <w:rtl/>
        </w:rPr>
        <w:t xml:space="preserve">انظروا </w:t>
      </w:r>
      <w:hyperlink w:history="1" r:id="rIde2mua-9zyvvu8rk9ffsug">
        <w:r>
          <w:rPr>
            <w:rStyle w:val="Hyperlink"/>
            <w:rtl/>
          </w:rPr>
          <w:t xml:space="preserve">القوة القاهرة</w:t>
        </w:r>
      </w:hyperlink>
      <w:r>
        <w:rPr>
          <w:rtl/>
        </w:rPr>
        <w:t xml:space="preserve"> في المسرد، وبيّنوا أثر الحادث في مواعيد التسليم إذا طال أمده.</w:t>
      </w:r>
    </w:p>
  </w:comment>
  <w:comment w:id="7" w:initials="Q" w:author="Qanu" w:date="2026-10-17T00:00:00.000Z">
    <w:p>
      <w:pPr>
        <w:bidi/>
      </w:pPr>
      <w:r>
        <w:rPr>
          <w:b/>
          <w:bCs/>
          <w:rtl/>
        </w:rPr>
        <w:t xml:space="preserve">ملاحظة صياغة</w:t>
      </w:r>
    </w:p>
    <w:p>
      <w:pPr>
        <w:bidi/>
      </w:pPr>
      <w:r>
        <w:rPr>
          <w:rtl/>
        </w:rPr>
        <w:t xml:space="preserve">سمّوا جهة الفصل. وفي شأن التحكيم انظروا </w:t>
      </w:r>
      <w:hyperlink w:history="1" r:id="rIdpxfuz0vvs6y6lxnhfvxfm">
        <w:r>
          <w:rPr>
            <w:rStyle w:val="Hyperlink"/>
            <w:rtl/>
          </w:rPr>
          <w:t xml:space="preserve">التحكيم</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833F3DFF-B7B5-40EB-EA0B-B9E1E496478B}"/>
    <w:embedBold r:id="rId2" w:fontKey="{BC89050F-4C7E-8236-3BA5-99C29F5F5D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‪https://www.qanu.ai/ar/نماذج/نموذج-عقد-بيع‬</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‪https://www.qanu.ai/ar/نماذج/نموذج-عقد-بيع‬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eptbu8x7cwbas9re78tca" Type="http://schemas.openxmlformats.org/officeDocument/2006/relationships/hyperlink" Target="https://www.qanu.ai/ar/%D9%85%D8%B3%D8%B1%D8%AF-%D9%82%D8%A7%D9%86%D9%88%D9%86%D9%8A/%D8%B4%D8%B1%D8%B7-%D8%AC%D8%B2%D8%A7%D8%A6%D9%8A" TargetMode="External"/><Relationship Id="rIde2mua-9zyvvu8rk9ffsug" Type="http://schemas.openxmlformats.org/officeDocument/2006/relationships/hyperlink" Target="https://www.qanu.ai/ar/%D9%85%D8%B3%D8%B1%D8%AF-%D9%82%D8%A7%D9%86%D9%88%D9%86%D9%8A/%D9%82%D9%88%D8%A9-%D9%82%D8%A7%D9%87%D8%B1%D8%A9" TargetMode="External"/><Relationship Id="rIdpxfuz0vvs6y6lxnhfvxfm" Type="http://schemas.openxmlformats.org/officeDocument/2006/relationships/hyperlink" Target="https://www.qanu.ai/ar/%D9%85%D8%B3%D8%B1%D8%AF-%D9%82%D8%A7%D9%86%D9%88%D9%86%D9%8A/%D8%AA%D8%AD%D9%83%D9%8A%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_yyq82yiihhsdjoqsbgpc" Type="http://schemas.openxmlformats.org/officeDocument/2006/relationships/hyperlink" Target="https://rer.sa/" TargetMode="External"/><Relationship Id="rIdi5a82s-8pgm6rjhfxsgvf" Type="http://schemas.openxmlformats.org/officeDocument/2006/relationships/hyperlink" Target="https://laws.moj.gov.sa/ar/legislation/R6fIk9qPUhuhF88Guk0ElQ" TargetMode="External"/><Relationship Id="rId0ols_j69fll-n-gplra96" Type="http://schemas.openxmlformats.org/officeDocument/2006/relationships/hyperlink" Target="https://dlp.dubai.gov.ae/Legislation%20Reference/2006/Law%20No.%20(7)%20of%202006.pdf" TargetMode="External"/><Relationship Id="rIdpu8zyukyhfwc4ruelvvpv" Type="http://schemas.openxmlformats.org/officeDocument/2006/relationships/hyperlink" Target="https://creativecommons.org/licenses/by/4.0/deed.ar" TargetMode="External"/><Relationship Id="rIdvjfloo4uqno7kuqbus-ex" Type="http://schemas.openxmlformats.org/officeDocument/2006/relationships/hyperlink" Target="https://laws.moj.gov.sa/ar/legislation/PBbHmywh1XMp-Kyv3NtQLg" TargetMode="External"/><Relationship Id="rIdsxei15axkgw8zfrp9s7ke" Type="http://schemas.openxmlformats.org/officeDocument/2006/relationships/hyperlink" Target="https://laws.moj.gov.sa/ar/legislation/R6fIk9qPUhuhF88Guk0ElQ" TargetMode="External"/><Relationship Id="rIdppygotccxl10xuekpk7h1" Type="http://schemas.openxmlformats.org/officeDocument/2006/relationships/hyperlink" Target="https://rer.sa/" TargetMode="External"/><Relationship Id="rIdo8e2vf-vhfr251cddz4vc" Type="http://schemas.openxmlformats.org/officeDocument/2006/relationships/hyperlink" Target="https://dlp.dubai.gov.ae/Legislation%20Reference/2006/Law%20No.%20(7)%20of%202006.pdf" TargetMode="External"/><Relationship Id="rIdrk4tx1n5aqa-9y_5jzzpp" Type="http://schemas.openxmlformats.org/officeDocument/2006/relationships/hyperlink" Target="https://uaelegislation.gov.ae/en/legislations/4011" TargetMode="External"/><Relationship Id="rIdvdqua2ew_rdza8ypdzhhv" Type="http://schemas.openxmlformats.org/officeDocument/2006/relationships/hyperlink" Target="https://u.ae/en/information-and-services/justice-safety-and-the-law/Law/how-are-uae-laws-issued-and-how-to-find-them/where-to-find-uae-federal-laws"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بيع منقولات بين طرفين</dc:title>
  <dc:creator>Qanu</dc:creator>
  <cp:keywords>عقد بيع, منقولات,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2026-10-17T17:43:02.262Z</dcterms:created>
  <dcterms:modified xsi:type="dcterms:W3CDTF">2026-10-17T17:43:02.262Z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https://www.qanu.ai/ar/نماذج/نموذج-عقد-بيع</vt:lpwstr>
  </property>
</Properties>
</file>