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For movable goods only.</w:t>
      </w:r>
      <w:r>
        <w:rPr>
          <w:rtl w:val="false"/>
        </w:rPr>
        <w:t xml:space="preserve"> Don’t use this template for real estate, vehicles, shares or any asset whose transfer must be registered with an authority. Those transfers follow the official registration procedure. In Saudi Arabia, real-estate ownership is registered in the real-estate register.</w:t>
      </w:r>
      <w:r>
        <w:rPr>
          <w:rtl w:val="false"/>
        </w:rPr>
        <w:t xml:space="preserve"> [2][3]</w:t>
      </w:r>
      <w:r>
        <w:rPr>
          <w:rtl w:val="false"/>
        </w:rPr>
        <w:t xml:space="preserve"> In Dubai, real property is registered under Law No. (7) of 2006.</w:t>
      </w:r>
      <w:r>
        <w:rPr>
          <w:rtl w:val="false"/>
        </w:rPr>
        <w:t xml:space="preserve"> [4]</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Saudi Real Estate Registry: </w:t>
      </w:r>
      <w:hyperlink w:history="1" r:id="rIdvbxnyur4nysyyefb5_ril">
        <w:r>
          <w:rPr>
            <w:rStyle w:val="Hyperlink"/>
            <w:sz w:val="17"/>
            <w:szCs w:val="17"/>
          </w:rPr>
          <w:t xml:space="preserve">https://rer.sa/</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Real Estate Registration Law (KSA): </w:t>
      </w:r>
      <w:hyperlink w:history="1" r:id="rIde2q1bjnvkyuhnv69cfwkn">
        <w:r>
          <w:rPr>
            <w:rStyle w:val="Hyperlink"/>
            <w:sz w:val="17"/>
            <w:szCs w:val="17"/>
          </w:rPr>
          <w:t xml:space="preserve">https://laws.moj.gov.sa/ar/legislation/R6fIk9qPUhuhF88Guk0ElQ</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Dubai real-property registration: </w:t>
      </w:r>
      <w:hyperlink w:history="1" r:id="rIdbevelqzpprw8s8v6yec4j">
        <w:r>
          <w:rPr>
            <w:rStyle w:val="Hyperlink"/>
            <w:sz w:val="17"/>
            <w:szCs w:val="17"/>
          </w:rPr>
          <w:t xml:space="preserve">https://dlp.dubai.gov.ae/Legislation Reference/2006/Law No. (7) of 2006.pdf</w:t>
        </w:r>
      </w:hyperlink>
    </w:p>
    <w:p>
      <w:pPr>
        <w:bidi w:val="false"/>
        <w:spacing w:after="240"/>
      </w:pPr>
    </w:p>
    <w:p>
      <w:pPr>
        <w:pStyle w:val="Title"/>
        <w:bidi w:val="false"/>
      </w:pPr>
      <w:r>
        <w:rPr>
          <w:rtl w:val="false"/>
        </w:rPr>
        <w:t xml:space="preserve">Sale agreement for movable goods</w:t>
      </w:r>
    </w:p>
    <w:p>
      <w:pPr>
        <w:bidi w:val="false"/>
        <w:spacing w:after="240"/>
      </w:pPr>
      <w:r>
        <w:rPr>
          <w:color w:val="444444"/>
          <w:rtl w:val="false"/>
        </w:rPr>
        <w:t xml:space="preserve">A GCC-wide sale of movable goods between two parties, business or individual. Not for real estate, vehicles, shares or any asset whose transfer must be registered.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 and delete the options that don’t apply.</w:t>
      </w:r>
    </w:p>
    <w:p>
      <w:pPr>
        <w:pStyle w:val="Heading1"/>
        <w:bidi w:val="false"/>
      </w:pPr>
      <w:r>
        <w:rPr>
          <w:rtl w:val="false"/>
        </w:rPr>
        <w:t xml:space="preserve">1. Parties</w:t>
      </w:r>
    </w:p>
    <w:p>
      <w:pPr>
        <w:bidi w:val="false"/>
      </w:pPr>
      <w:r>
        <w:rPr>
          <w:rtl w:val="false"/>
        </w:rPr>
        <w:t xml:space="preserve">This agreement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at </w:t>
      </w:r>
      <w:r>
        <w:rPr>
          <w:highlight w:val="yellow"/>
          <w:rtl w:val="false"/>
        </w:rPr>
        <w:t xml:space="preserve">[</w:t>
      </w:r>
      <w:r>
        <w:rPr>
          <w:highlight w:val="yellow"/>
          <w:rtl w:val="false"/>
        </w:rPr>
        <w:t xml:space="preserve">city</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Seller name</w:t>
      </w:r>
      <w:r>
        <w:rPr>
          <w:highlight w:val="yellow"/>
          <w:rtl w:val="false"/>
        </w:rPr>
        <w:t xml:space="preserve">]</w:t>
      </w:r>
      <w:r>
        <w:rPr>
          <w:rtl w:val="false"/>
        </w:rPr>
        <w:t xml:space="preserve">, ID/commercial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“Seller”) and </w:t>
      </w:r>
      <w:r>
        <w:rPr>
          <w:highlight w:val="yellow"/>
          <w:rtl w:val="false"/>
        </w:rPr>
        <w:t xml:space="preserve">[</w:t>
      </w:r>
      <w:r>
        <w:rPr>
          <w:highlight w:val="yellow"/>
          <w:rtl w:val="false"/>
        </w:rPr>
        <w:t xml:space="preserve">Buyer name</w:t>
      </w:r>
      <w:r>
        <w:rPr>
          <w:highlight w:val="yellow"/>
          <w:rtl w:val="false"/>
        </w:rPr>
        <w:t xml:space="preserve">]</w:t>
      </w:r>
      <w:r>
        <w:rPr>
          <w:rtl w:val="false"/>
        </w:rPr>
        <w:t xml:space="preserve">, ID/commercial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address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“Buyer”).</w:t>
      </w:r>
    </w:p>
    <w:p>
      <w:pPr>
        <w:pStyle w:val="Heading1"/>
        <w:bidi w:val="false"/>
      </w:pPr>
      <w:commentRangeStart w:id="0"/>
      <w:r>
        <w:rPr>
          <w:rtl w:val="false"/>
        </w:rPr>
        <w:t xml:space="preserve">2. Goods</w:t>
      </w:r>
      <w:commentRangeEnd w:id="0"/>
      <w:r>
        <w:rPr>
          <w:rtl w:val="false"/>
        </w:rPr>
        <w:commentReference w:id="0"/>
      </w:r>
    </w:p>
    <w:p>
      <w:pPr>
        <w:bidi w:val="false"/>
      </w:pPr>
      <w:r>
        <w:rPr>
          <w:highlight w:val="yellow"/>
          <w:rtl w:val="false"/>
        </w:rPr>
        <w:t xml:space="preserve">[</w:t>
      </w:r>
      <w:r>
        <w:rPr>
          <w:highlight w:val="yellow"/>
          <w:rtl w:val="false"/>
        </w:rPr>
        <w:t xml:space="preserve">Description, specifications, quantity, serial numbers</w:t>
      </w:r>
      <w:r>
        <w:rPr>
          <w:highlight w:val="yellow"/>
          <w:rtl w:val="false"/>
        </w:rPr>
        <w:t xml:space="preserve">]</w:t>
      </w:r>
      <w:r>
        <w:rPr>
          <w:rtl w:val="false"/>
        </w:rPr>
        <w:t xml:space="preserve">, as listed in Annex 1.</w:t>
      </w:r>
    </w:p>
    <w:p>
      <w:pPr>
        <w:pStyle w:val="Heading1"/>
        <w:bidi w:val="false"/>
      </w:pPr>
      <w:commentRangeStart w:id="1"/>
      <w:r>
        <w:rPr>
          <w:rtl w:val="false"/>
        </w:rPr>
        <w:t xml:space="preserve">3. Price</w:t>
      </w:r>
      <w:commentRangeEnd w:id="1"/>
      <w:r>
        <w:rPr>
          <w:rtl w:val="false"/>
        </w:rPr>
        <w:commentReference w:id="1"/>
      </w:r>
    </w:p>
    <w:p>
      <w:pPr>
        <w:bidi w:val="false"/>
      </w:pPr>
      <w:r>
        <w:rPr>
          <w:rtl w:val="false"/>
        </w:rPr>
        <w:t xml:space="preserve">The price is </w:t>
      </w:r>
      <w:r>
        <w:rPr>
          <w:highlight w:val="yellow"/>
          <w:rtl w:val="false"/>
        </w:rPr>
        <w:t xml:space="preserve">[</w:t>
      </w:r>
      <w:r>
        <w:rPr>
          <w:highlight w:val="yellow"/>
          <w:rtl w:val="false"/>
        </w:rPr>
        <w:t xml:space="preserve">amount, currency</w:t>
      </w:r>
      <w:r>
        <w:rPr>
          <w:highlight w:val="yellow"/>
          <w:rtl w:val="false"/>
        </w:rPr>
        <w:t xml:space="preserve">]</w:t>
      </w:r>
      <w:r>
        <w:rPr>
          <w:rtl w:val="false"/>
        </w:rPr>
        <w:t xml:space="preserve">, </w:t>
      </w:r>
      <w:r>
        <w:rPr>
          <w:highlight w:val="yellow"/>
          <w:rtl w:val="false"/>
        </w:rPr>
        <w:t xml:space="preserve">[</w:t>
      </w:r>
      <w:r>
        <w:rPr>
          <w:highlight w:val="yellow"/>
          <w:rtl w:val="false"/>
        </w:rPr>
        <w:t xml:space="preserve">inclusive/exclusive</w:t>
      </w:r>
      <w:r>
        <w:rPr>
          <w:highlight w:val="yellow"/>
          <w:rtl w:val="false"/>
        </w:rPr>
        <w:t xml:space="preserve">]</w:t>
      </w:r>
      <w:r>
        <w:rPr>
          <w:rtl w:val="false"/>
        </w:rPr>
        <w:t xml:space="preserve"> of VAT. Payment: </w:t>
      </w:r>
      <w:r>
        <w:rPr>
          <w:highlight w:val="yellow"/>
          <w:rtl w:val="false"/>
        </w:rPr>
        <w:t xml:space="preserve">[</w:t>
      </w:r>
      <w:r>
        <w:rPr>
          <w:highlight w:val="yellow"/>
          <w:rtl w:val="false"/>
        </w:rPr>
        <w:t xml:space="preserve">in full on signing / instalments of ● on ●</w:t>
      </w:r>
      <w:r>
        <w:rPr>
          <w:highlight w:val="yellow"/>
          <w:rtl w:val="false"/>
        </w:rPr>
        <w:t xml:space="preserve">]</w:t>
      </w:r>
      <w:r>
        <w:rPr>
          <w:rtl w:val="false"/>
        </w:rPr>
        <w:t xml:space="preserve">.</w:t>
      </w:r>
    </w:p>
    <w:p>
      <w:pPr>
        <w:pStyle w:val="Heading1"/>
        <w:bidi w:val="false"/>
      </w:pPr>
      <w:commentRangeStart w:id="2"/>
      <w:r>
        <w:rPr>
          <w:rtl w:val="false"/>
        </w:rPr>
        <w:t xml:space="preserve">4. Delivery</w:t>
      </w:r>
      <w:commentRangeEnd w:id="2"/>
      <w:r>
        <w:rPr>
          <w:rtl w:val="false"/>
        </w:rPr>
        <w:commentReference w:id="2"/>
      </w:r>
    </w:p>
    <w:p>
      <w:pPr>
        <w:bidi w:val="false"/>
      </w:pPr>
      <w:r>
        <w:rPr>
          <w:rtl w:val="false"/>
        </w:rPr>
        <w:t xml:space="preserve">The Seller delivers the goods at </w:t>
      </w:r>
      <w:r>
        <w:rPr>
          <w:highlight w:val="yellow"/>
          <w:rtl w:val="false"/>
        </w:rPr>
        <w:t xml:space="preserve">[</w:t>
      </w:r>
      <w:r>
        <w:rPr>
          <w:highlight w:val="yellow"/>
          <w:rtl w:val="false"/>
        </w:rPr>
        <w:t xml:space="preserve">place</w:t>
      </w:r>
      <w:r>
        <w:rPr>
          <w:highlight w:val="yellow"/>
          <w:rtl w:val="false"/>
        </w:rPr>
        <w:t xml:space="preserve">]</w:t>
      </w:r>
      <w:r>
        <w:rPr>
          <w:rtl w:val="false"/>
        </w:rPr>
        <w:t xml:space="preserv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Risk passes to the Buyer on </w:t>
      </w:r>
      <w:r>
        <w:rPr>
          <w:highlight w:val="yellow"/>
          <w:rtl w:val="false"/>
        </w:rPr>
        <w:t xml:space="preserve">[</w:t>
      </w:r>
      <w:r>
        <w:rPr>
          <w:highlight w:val="yellow"/>
          <w:rtl w:val="false"/>
        </w:rPr>
        <w:t xml:space="preserve">delivery / ●</w:t>
      </w:r>
      <w:r>
        <w:rPr>
          <w:highlight w:val="yellow"/>
          <w:rtl w:val="false"/>
        </w:rPr>
        <w:t xml:space="preserve">]</w:t>
      </w:r>
      <w:r>
        <w:rPr>
          <w:rtl w:val="false"/>
        </w:rPr>
        <w:t xml:space="preserve">.</w:t>
      </w:r>
    </w:p>
    <w:p>
      <w:pPr>
        <w:pStyle w:val="Heading1"/>
        <w:bidi w:val="false"/>
      </w:pPr>
      <w:commentRangeStart w:id="3"/>
      <w:r>
        <w:rPr>
          <w:rtl w:val="false"/>
        </w:rPr>
        <w:t xml:space="preserve">5. Ownership</w:t>
      </w:r>
      <w:commentRangeEnd w:id="3"/>
      <w:r>
        <w:rPr>
          <w:rtl w:val="false"/>
        </w:rPr>
        <w:commentReference w:id="3"/>
      </w:r>
    </w:p>
    <w:p>
      <w:pPr>
        <w:bidi w:val="false"/>
      </w:pPr>
      <w:r>
        <w:rPr>
          <w:rtl w:val="false"/>
        </w:rPr>
        <w:t xml:space="preserve">Ownership passes on </w:t>
      </w:r>
      <w:r>
        <w:rPr>
          <w:highlight w:val="yellow"/>
          <w:rtl w:val="false"/>
        </w:rPr>
        <w:t xml:space="preserve">[</w:t>
      </w:r>
      <w:r>
        <w:rPr>
          <w:highlight w:val="yellow"/>
          <w:rtl w:val="false"/>
        </w:rPr>
        <w:t xml:space="preserve">delivery / full payment</w:t>
      </w:r>
      <w:r>
        <w:rPr>
          <w:highlight w:val="yellow"/>
          <w:rtl w:val="false"/>
        </w:rPr>
        <w:t xml:space="preserve">]</w:t>
      </w:r>
      <w:r>
        <w:rPr>
          <w:rtl w:val="false"/>
        </w:rPr>
        <w:t xml:space="preserve">. The Seller warrants that it owns the goods and that they are free of third-party rights.</w:t>
      </w:r>
    </w:p>
    <w:p>
      <w:pPr>
        <w:pStyle w:val="Heading1"/>
        <w:bidi w:val="false"/>
      </w:pPr>
      <w:r>
        <w:rPr>
          <w:rtl w:val="false"/>
        </w:rPr>
        <w:t xml:space="preserve">6. Inspection and acceptance</w:t>
      </w:r>
    </w:p>
    <w:p>
      <w:pPr>
        <w:bidi w:val="false"/>
      </w:pPr>
      <w:r>
        <w:rPr>
          <w:rtl w:val="false"/>
        </w:rPr>
        <w:t xml:space="preserve">The Buyer inspects the goods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delivery and notifies the Seller of defects in writing within that period.</w:t>
      </w:r>
    </w:p>
    <w:p>
      <w:pPr>
        <w:pStyle w:val="Heading1"/>
        <w:bidi w:val="false"/>
      </w:pPr>
      <w:commentRangeStart w:id="4"/>
      <w:r>
        <w:rPr>
          <w:rtl w:val="false"/>
        </w:rPr>
        <w:t xml:space="preserve">7. Warranty</w:t>
      </w:r>
      <w:commentRangeEnd w:id="4"/>
      <w:r>
        <w:rPr>
          <w:rtl w:val="false"/>
        </w:rPr>
        <w:commentReference w:id="4"/>
      </w:r>
    </w:p>
    <w:p>
      <w:pPr>
        <w:bidi w:val="false"/>
      </w:pPr>
      <w:r>
        <w:rPr>
          <w:rtl w:val="false"/>
        </w:rPr>
        <w:t xml:space="preserve">The Seller warrants the goods against defects in materials and workmanship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months from delivery, without prejudice to any rights the applicable law gives the Buyer.</w:t>
      </w:r>
    </w:p>
    <w:p>
      <w:pPr>
        <w:pStyle w:val="Heading1"/>
        <w:bidi w:val="false"/>
      </w:pPr>
      <w:commentRangeStart w:id="5"/>
      <w:r>
        <w:rPr>
          <w:rtl w:val="false"/>
        </w:rPr>
        <w:t xml:space="preserve">8. Default and penalty</w:t>
      </w:r>
      <w:commentRangeEnd w:id="5"/>
      <w:r>
        <w:rPr>
          <w:rtl w:val="false"/>
        </w:rPr>
        <w:commentReference w:id="5"/>
      </w:r>
    </w:p>
    <w:p>
      <w:pPr>
        <w:bidi w:val="false"/>
      </w:pPr>
      <w:r>
        <w:rPr>
          <w:b/>
          <w:bCs/>
          <w:rtl w:val="false"/>
        </w:rPr>
        <w:t xml:space="preserve">Option:</w:t>
      </w:r>
      <w:r>
        <w:rPr>
          <w:rtl w:val="false"/>
        </w:rPr>
        <w:t xml:space="preserve"> the party in delay pays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per </w:t>
      </w:r>
      <w:r>
        <w:rPr>
          <w:highlight w:val="yellow"/>
          <w:rtl w:val="false"/>
        </w:rPr>
        <w:t xml:space="preserve">[</w:t>
      </w:r>
      <w:r>
        <w:rPr>
          <w:highlight w:val="yellow"/>
          <w:rtl w:val="false"/>
        </w:rPr>
        <w:t xml:space="preserve">day/week</w:t>
      </w:r>
      <w:r>
        <w:rPr>
          <w:highlight w:val="yellow"/>
          <w:rtl w:val="false"/>
        </w:rPr>
        <w:t xml:space="preserve">]</w:t>
      </w:r>
      <w:r>
        <w:rPr>
          <w:rtl w:val="false"/>
        </w:rPr>
        <w:t xml:space="preserve"> of delay, capped at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6"/>
      <w:r>
        <w:rPr>
          <w:rtl w:val="false"/>
        </w:rPr>
        <w:t xml:space="preserve">9. Force majeure</w:t>
      </w:r>
      <w:commentRangeEnd w:id="6"/>
      <w:r>
        <w:rPr>
          <w:rtl w:val="false"/>
        </w:rPr>
        <w:commentReference w:id="6"/>
      </w:r>
    </w:p>
    <w:p>
      <w:pPr>
        <w:bidi w:val="false"/>
      </w:pPr>
      <w:r>
        <w:rPr>
          <w:rtl w:val="false"/>
        </w:rPr>
        <w:t xml:space="preserve">Neither party is liable for a delay or failure caused by an event beyond its reasonable control, if it notifies the other in writing as soon as it reasonably can and uses reasonable efforts to limit the effect. The parties then agree in writing how the contract continues: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commentRangeStart w:id="7"/>
      <w:r>
        <w:rPr>
          <w:rtl w:val="false"/>
        </w:rPr>
        <w:t xml:space="preserve">10. Governing law and disputes</w:t>
      </w:r>
      <w:commentRangeEnd w:id="7"/>
      <w:r>
        <w:rPr>
          <w:rtl w:val="false"/>
        </w:rPr>
        <w:commentReference w:id="7"/>
      </w:r>
    </w:p>
    <w:p>
      <w:pPr>
        <w:bidi w:val="false"/>
      </w:pPr>
      <w:r>
        <w:rPr>
          <w:rtl w:val="false"/>
        </w:rPr>
        <w:t xml:space="preserve">This agreement is governed by the laws of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Disputes go to </w:t>
      </w:r>
      <w:r>
        <w:rPr>
          <w:highlight w:val="yellow"/>
          <w:rtl w:val="false"/>
        </w:rPr>
        <w:t xml:space="preserve">[</w:t>
      </w:r>
      <w:r>
        <w:rPr>
          <w:highlight w:val="yellow"/>
          <w:rtl w:val="false"/>
        </w:rPr>
        <w:t xml:space="preserve">the courts of ● / arbitration under ●</w:t>
      </w:r>
      <w:r>
        <w:rPr>
          <w:highlight w:val="yellow"/>
          <w:rtl w:val="false"/>
        </w:rPr>
        <w:t xml:space="preserve">]</w:t>
      </w:r>
      <w:r>
        <w:rPr>
          <w:rtl w:val="false"/>
        </w:rPr>
        <w:t xml:space="preserve">.</w:t>
      </w:r>
    </w:p>
    <w:p>
      <w:pPr>
        <w:pStyle w:val="Heading1"/>
        <w:bidi w:val="false"/>
      </w:pPr>
      <w:r>
        <w:rPr>
          <w:rtl w:val="false"/>
        </w:rPr>
        <w:t xml:space="preserve">11. Language, copies and signatures</w:t>
      </w:r>
    </w:p>
    <w:p>
      <w:pPr>
        <w:bidi w:val="false"/>
      </w:pPr>
      <w:r>
        <w:rPr>
          <w:rtl w:val="false"/>
        </w:rPr>
        <w:t xml:space="preserve">This agreement is made in Arabic and English. If they conflict, the Arabic text prevails. It is signed in two copies, one for each party.</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Seller: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Buyer: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Saudi Arabia notes</w:t>
      </w:r>
    </w:p>
    <w:p>
      <w:pPr>
        <w:bidi w:val="false"/>
      </w:pPr>
      <w:r>
        <w:rPr>
          <w:rtl w:val="false"/>
        </w:rPr>
        <w:t xml:space="preserve">Civil Transactions Law (Royal Decree No. M/191 of 29/11/1444H), as published on the Ministry of Justice legal portal. Real estate is outside this template.</w:t>
      </w:r>
      <w:r>
        <w:rPr>
          <w:rtl w:val="false"/>
        </w:rPr>
        <w:t xml:space="preserve"> [1][2][3]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the official text supports</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goods</w:t>
            </w:r>
          </w:p>
        </w:tc>
        <w:tc>
          <w:tcPr>
            <w:tcMar>
              <w:top w:type="dxa" w:w="80"/>
              <w:left w:type="dxa" w:w="100"/>
              <w:bottom w:type="dxa" w:w="80"/>
              <w:right w:type="dxa" w:w="100"/>
            </w:tcMar>
          </w:tcPr>
          <w:p>
            <w:pPr>
              <w:bidi w:val="false"/>
              <w:spacing w:after="0"/>
            </w:pPr>
            <w:r>
              <w:rPr>
                <w:b w:val="false"/>
                <w:sz w:val="18"/>
                <w:szCs w:val="18"/>
                <w:rtl w:val="false"/>
              </w:rPr>
              <w:t xml:space="preserve">The object sold must be known to the buyer (Art. 308).</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The price</w:t>
            </w:r>
          </w:p>
        </w:tc>
        <w:tc>
          <w:tcPr>
            <w:tcMar>
              <w:top w:type="dxa" w:w="80"/>
              <w:left w:type="dxa" w:w="100"/>
              <w:bottom w:type="dxa" w:w="80"/>
              <w:right w:type="dxa" w:w="100"/>
            </w:tcMar>
          </w:tcPr>
          <w:p>
            <w:pPr>
              <w:bidi w:val="false"/>
              <w:spacing w:after="0"/>
            </w:pPr>
            <w:r>
              <w:rPr>
                <w:b w:val="false"/>
                <w:sz w:val="18"/>
                <w:szCs w:val="18"/>
                <w:rtl w:val="false"/>
              </w:rPr>
              <w:t xml:space="preserve">The price is payable immediately unless a deferral is agreed (Art. 317).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Selling what you don’t own</w:t>
            </w:r>
          </w:p>
        </w:tc>
        <w:tc>
          <w:tcPr>
            <w:tcMar>
              <w:top w:type="dxa" w:w="80"/>
              <w:left w:type="dxa" w:w="100"/>
              <w:bottom w:type="dxa" w:w="80"/>
              <w:right w:type="dxa" w:w="100"/>
            </w:tcMar>
          </w:tcPr>
          <w:p>
            <w:pPr>
              <w:bidi w:val="false"/>
              <w:spacing w:after="0"/>
            </w:pPr>
            <w:r>
              <w:rPr>
                <w:b w:val="false"/>
                <w:sz w:val="18"/>
                <w:szCs w:val="18"/>
                <w:rtl w:val="false"/>
              </w:rPr>
              <w:t xml:space="preserve">A sale of another person’s property is dealt with by Art. 359.</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Real estate</w:t>
            </w:r>
          </w:p>
        </w:tc>
        <w:tc>
          <w:tcPr>
            <w:tcMar>
              <w:top w:type="dxa" w:w="80"/>
              <w:left w:type="dxa" w:w="100"/>
              <w:bottom w:type="dxa" w:w="80"/>
              <w:right w:type="dxa" w:w="100"/>
            </w:tcMar>
          </w:tcPr>
          <w:p>
            <w:pPr>
              <w:bidi w:val="false"/>
              <w:spacing w:after="0"/>
            </w:pPr>
            <w:r>
              <w:rPr>
                <w:b w:val="false"/>
                <w:sz w:val="18"/>
                <w:szCs w:val="18"/>
                <w:rtl w:val="false"/>
              </w:rPr>
              <w:t xml:space="preserve">Ownership of real estate is registered in the real-estate register, so a sale of real estate is outside this template.</w:t>
            </w:r>
            <w:r>
              <w:rPr>
                <w:b w:val="false"/>
                <w:sz w:val="18"/>
                <w:szCs w:val="18"/>
                <w:rtl w:val="false"/>
              </w:rPr>
              <w:t xml:space="preserve"> [2][3]</w:t>
            </w:r>
          </w:p>
        </w:tc>
      </w:tr>
    </w:tbl>
    <w:p>
      <w:pPr>
        <w:bidi w:val="false"/>
      </w:pPr>
    </w:p>
    <w:p>
      <w:pPr>
        <w:pStyle w:val="Heading1"/>
        <w:pageBreakBefore/>
        <w:bidi w:val="false"/>
      </w:pPr>
      <w:r>
        <w:rPr>
          <w:rtl w:val="false"/>
        </w:rPr>
        <w:t xml:space="preserve">UAE notes</w:t>
      </w:r>
    </w:p>
    <w:p>
      <w:pPr>
        <w:bidi w:val="false"/>
      </w:pPr>
      <w:r>
        <w:rPr>
          <w:rtl w:val="false"/>
        </w:rPr>
        <w:t xml:space="preserve">Under the Civil Transactions Law (Federal Decree-Law No. 25 of 2025, in force on 1 June 2026). This schedule does not cite article numbers.</w:t>
      </w:r>
      <w:r>
        <w:rPr>
          <w:rtl w:val="false"/>
        </w:rPr>
        <w:t xml:space="preserve"> [5][6]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What to do</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Governing civil law</w:t>
            </w:r>
          </w:p>
        </w:tc>
        <w:tc>
          <w:tcPr>
            <w:tcMar>
              <w:top w:type="dxa" w:w="80"/>
              <w:left w:type="dxa" w:w="100"/>
              <w:bottom w:type="dxa" w:w="80"/>
              <w:right w:type="dxa" w:w="100"/>
            </w:tcMar>
          </w:tcPr>
          <w:p>
            <w:pPr>
              <w:bidi w:val="false"/>
              <w:spacing w:after="0"/>
            </w:pPr>
            <w:r>
              <w:rPr>
                <w:b w:val="false"/>
                <w:sz w:val="18"/>
                <w:szCs w:val="18"/>
                <w:rtl w:val="false"/>
              </w:rPr>
              <w:t xml:space="preserve">Use Federal Decree-Law No. 25 of 2025. Have a UAE-licensed lawyer read the warranty, delivery and penalty clauses against it.</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Where the text is published</w:t>
            </w:r>
          </w:p>
        </w:tc>
        <w:tc>
          <w:tcPr>
            <w:tcMar>
              <w:top w:type="dxa" w:w="80"/>
              <w:left w:type="dxa" w:w="100"/>
              <w:bottom w:type="dxa" w:w="80"/>
              <w:right w:type="dxa" w:w="100"/>
            </w:tcMar>
          </w:tcPr>
          <w:p>
            <w:pPr>
              <w:bidi w:val="false"/>
              <w:spacing w:after="0"/>
            </w:pPr>
            <w:r>
              <w:rPr>
                <w:b w:val="false"/>
                <w:sz w:val="18"/>
                <w:szCs w:val="18"/>
                <w:rtl w:val="false"/>
              </w:rPr>
              <w:t xml:space="preserve">Federal legislation is published on the UAE Legislation platform.</w:t>
            </w:r>
            <w:r>
              <w:rPr>
                <w:b w:val="false"/>
                <w:sz w:val="18"/>
                <w:szCs w:val="18"/>
                <w:rtl w:val="false"/>
              </w:rPr>
              <w:t xml:space="preserve"> [6]</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Real estate in Dubai</w:t>
            </w:r>
          </w:p>
        </w:tc>
        <w:tc>
          <w:tcPr>
            <w:tcMar>
              <w:top w:type="dxa" w:w="80"/>
              <w:left w:type="dxa" w:w="100"/>
              <w:bottom w:type="dxa" w:w="80"/>
              <w:right w:type="dxa" w:w="100"/>
            </w:tcMar>
          </w:tcPr>
          <w:p>
            <w:pPr>
              <w:bidi w:val="false"/>
              <w:spacing w:after="0"/>
            </w:pPr>
            <w:r>
              <w:rPr>
                <w:b w:val="false"/>
                <w:sz w:val="18"/>
                <w:szCs w:val="18"/>
                <w:rtl w:val="false"/>
              </w:rPr>
              <w:t xml:space="preserve">Real property is registered under Law No. (7) of 2006. Don’t use this template for it.</w:t>
            </w:r>
            <w:r>
              <w:rPr>
                <w:b w:val="false"/>
                <w:sz w:val="18"/>
                <w:szCs w:val="18"/>
                <w:rtl w:val="false"/>
              </w:rPr>
              <w:t xml:space="preserve"> [4]</w:t>
            </w:r>
          </w:p>
        </w:tc>
      </w:tr>
    </w:tbl>
    <w:p>
      <w:pPr>
        <w:bidi w:val="false"/>
      </w:pPr>
    </w:p>
    <w:p>
      <w:pPr>
        <w:pStyle w:val="Heading1"/>
        <w:pageBreakBefore/>
        <w:bidi w:val="false"/>
      </w:pPr>
      <w:r>
        <w:rPr>
          <w:rtl w:val="false"/>
        </w:rPr>
        <w:t xml:space="preserve">Annex 1 – Goods</w:t>
      </w:r>
    </w:p>
    <w:p>
      <w:pPr>
        <w:bidi w:val="false"/>
      </w:pPr>
      <w:r>
        <w:rPr>
          <w:rtl w:val="false"/>
        </w:rPr>
        <w:t xml:space="preserve">Describe each item so the buyer can identify it. Add rows as needed.</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Description</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Quantity</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Serial number</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Unit price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description</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description</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description</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mrxeza_kjq-jipmvs_pvb">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https://www.qanu.ai/en/templates/sale-agreement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Ministry of Justice legal portal, Civil Transactions Law (Royal Decree No. M/191 of 29/11/1444H) </w:t>
      </w:r>
      <w:hyperlink w:history="1" r:id="rIdybjxtio9wzrg988vts6hz">
        <w:r>
          <w:rPr>
            <w:rStyle w:val="Hyperlink"/>
            <w:sz w:val="16"/>
            <w:szCs w:val="16"/>
          </w:rPr>
          <w:t xml:space="preserve">https://laws.moj.gov.sa/ar/legislation/PBbHmywh1XMp-Kyv3NtQLg</w:t>
        </w:r>
      </w:hyperlink>
    </w:p>
    <w:p>
      <w:pPr>
        <w:bidi w:val="false"/>
        <w:ind w:start="360" w:hanging="360"/>
      </w:pPr>
      <w:r>
        <w:rPr>
          <w:sz w:val="18"/>
          <w:szCs w:val="18"/>
          <w:rtl w:val="false"/>
        </w:rPr>
        <w:t xml:space="preserve">[2] Ministry of Justice legal portal, Real Estate Registration Law </w:t>
      </w:r>
      <w:hyperlink w:history="1" r:id="rIdzm0gvk3oc0ikmwgmdy16b">
        <w:r>
          <w:rPr>
            <w:rStyle w:val="Hyperlink"/>
            <w:sz w:val="16"/>
            <w:szCs w:val="16"/>
          </w:rPr>
          <w:t xml:space="preserve">https://laws.moj.gov.sa/ar/legislation/R6fIk9qPUhuhF88Guk0ElQ</w:t>
        </w:r>
      </w:hyperlink>
    </w:p>
    <w:p>
      <w:pPr>
        <w:bidi w:val="false"/>
        <w:ind w:start="360" w:hanging="360"/>
      </w:pPr>
      <w:r>
        <w:rPr>
          <w:sz w:val="18"/>
          <w:szCs w:val="18"/>
          <w:rtl w:val="false"/>
        </w:rPr>
        <w:t xml:space="preserve">[3] Saudi Real Estate Registry (RER), property registration and ownership transfer </w:t>
      </w:r>
      <w:hyperlink w:history="1" r:id="rIdw3lsgs46-uxtc4od322t1">
        <w:r>
          <w:rPr>
            <w:rStyle w:val="Hyperlink"/>
            <w:sz w:val="16"/>
            <w:szCs w:val="16"/>
          </w:rPr>
          <w:t xml:space="preserve">https://rer.sa/</w:t>
        </w:r>
      </w:hyperlink>
    </w:p>
    <w:p>
      <w:pPr>
        <w:bidi w:val="false"/>
        <w:ind w:start="360" w:hanging="360"/>
      </w:pPr>
      <w:r>
        <w:rPr>
          <w:sz w:val="18"/>
          <w:szCs w:val="18"/>
          <w:rtl w:val="false"/>
        </w:rPr>
        <w:t xml:space="preserve">[4] Dubai Legislation Portal, Law No. (7) of 2006 concerning real property registration in the Emirate of Dubai (PDF) </w:t>
      </w:r>
      <w:hyperlink w:history="1" r:id="rId3maafsyzsdl_evnvwkdrh">
        <w:r>
          <w:rPr>
            <w:rStyle w:val="Hyperlink"/>
            <w:sz w:val="16"/>
            <w:szCs w:val="16"/>
          </w:rPr>
          <w:t xml:space="preserve">https://dlp.dubai.gov.ae/Legislation%20Reference/2006/Law%20No.%20(7)%20of%202006.pdf</w:t>
        </w:r>
      </w:hyperlink>
    </w:p>
    <w:p>
      <w:pPr>
        <w:bidi w:val="false"/>
        <w:ind w:start="360" w:hanging="360"/>
      </w:pPr>
      <w:r>
        <w:rPr>
          <w:sz w:val="18"/>
          <w:szCs w:val="18"/>
          <w:rtl w:val="false"/>
        </w:rPr>
        <w:t xml:space="preserve">[5] UAE Legislation, Federal Decree-Law No. 25 of 2025 (Civil Transactions Law) </w:t>
      </w:r>
      <w:hyperlink w:history="1" r:id="rId6puunhzaxzf4ebhtckmyd">
        <w:r>
          <w:rPr>
            <w:rStyle w:val="Hyperlink"/>
            <w:sz w:val="16"/>
            <w:szCs w:val="16"/>
          </w:rPr>
          <w:t xml:space="preserve">https://uaelegislation.gov.ae/en/legislations/4011</w:t>
        </w:r>
      </w:hyperlink>
    </w:p>
    <w:p>
      <w:pPr>
        <w:bidi w:val="false"/>
        <w:ind w:start="360" w:hanging="360"/>
      </w:pPr>
      <w:r>
        <w:rPr>
          <w:sz w:val="18"/>
          <w:szCs w:val="18"/>
          <w:rtl w:val="false"/>
        </w:rPr>
        <w:t xml:space="preserve">[6] UAE Government portal (u.ae), Where to find the UAE's federal laws </w:t>
      </w:r>
      <w:hyperlink w:history="1" r:id="rIdnxg3bmonkrbbqwfffneta">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In Saudi Arabia the object sold must be known to the buyer (Civil Transactions Law, Art. 308). Describe the goods precisely: kind, quantity, specifications and serial numbers.</w:t>
      </w:r>
      <w:r>
        <w:rPr>
          <w:rtl w:val="false"/>
        </w:rPr>
        <w:t xml:space="preserve"> [1]</w:t>
      </w:r>
    </w:p>
  </w:comment>
  <w:comment w:id="1" w:initials="Q" w:author="Qanu" w:date="2026-10-17T00:00:00.000Z">
    <w:p>
      <w:pPr>
        <w:bidi w:val="false"/>
      </w:pPr>
      <w:r>
        <w:rPr>
          <w:b/>
          <w:bCs/>
          <w:rtl w:val="false"/>
        </w:rPr>
        <w:t xml:space="preserve">Drafting note</w:t>
      </w:r>
    </w:p>
    <w:p>
      <w:pPr>
        <w:bidi w:val="false"/>
      </w:pPr>
      <w:r>
        <w:rPr>
          <w:rtl w:val="false"/>
        </w:rPr>
        <w:t xml:space="preserve">In Saudi Arabia the price is payable immediately unless a deferral is agreed (Art. 317).</w:t>
      </w:r>
      <w:r>
        <w:rPr>
          <w:rtl w:val="false"/>
        </w:rPr>
        <w:t xml:space="preserve"> [1]</w:t>
      </w:r>
      <w:r>
        <w:rPr>
          <w:rtl w:val="false"/>
        </w:rPr>
        <w:t xml:space="preserve"> Don’t state a VAT rate in the template; use the rate in force on the invoice.</w:t>
      </w:r>
    </w:p>
  </w:comment>
  <w:comment w:id="2" w:initials="Q" w:author="Qanu" w:date="2026-10-17T00:00:00.000Z">
    <w:p>
      <w:pPr>
        <w:bidi w:val="false"/>
      </w:pPr>
      <w:r>
        <w:rPr>
          <w:b/>
          <w:bCs/>
          <w:rtl w:val="false"/>
        </w:rPr>
        <w:t xml:space="preserve">Drafting note</w:t>
      </w:r>
    </w:p>
    <w:p>
      <w:pPr>
        <w:bidi w:val="false"/>
      </w:pPr>
      <w:r>
        <w:rPr>
          <w:rtl w:val="false"/>
        </w:rPr>
        <w:t xml:space="preserve">Say when risk passes. The default rules differ by country, so don’t leave this blank.</w:t>
      </w:r>
    </w:p>
  </w:comment>
  <w:comment w:id="3" w:initials="Q" w:author="Qanu" w:date="2026-10-17T00:00:00.000Z">
    <w:p>
      <w:pPr>
        <w:bidi w:val="false"/>
      </w:pPr>
      <w:r>
        <w:rPr>
          <w:b/>
          <w:bCs/>
          <w:rtl w:val="false"/>
        </w:rPr>
        <w:t xml:space="preserve">Drafting note</w:t>
      </w:r>
    </w:p>
    <w:p>
      <w:pPr>
        <w:bidi w:val="false"/>
      </w:pPr>
      <w:r>
        <w:rPr>
          <w:rtl w:val="false"/>
        </w:rPr>
        <w:t xml:space="preserve">In Saudi Arabia, a sale of another person’s property is dealt with by Art. 359 of the Civil Transactions Law.</w:t>
      </w:r>
      <w:r>
        <w:rPr>
          <w:rtl w:val="false"/>
        </w:rPr>
        <w:t xml:space="preserve"> [1]</w:t>
      </w:r>
      <w:r>
        <w:rPr>
          <w:rtl w:val="false"/>
        </w:rPr>
        <w:t xml:space="preserve"> The Seller should be the owner, or disclose the authority to sell.</w:t>
      </w:r>
    </w:p>
  </w:comment>
  <w:comment w:id="4" w:initials="Q" w:author="Qanu" w:date="2026-10-17T00:00:00.000Z">
    <w:p>
      <w:pPr>
        <w:bidi w:val="false"/>
      </w:pPr>
      <w:r>
        <w:rPr>
          <w:b/>
          <w:bCs/>
          <w:rtl w:val="false"/>
        </w:rPr>
        <w:t xml:space="preserve">Drafting note</w:t>
      </w:r>
    </w:p>
    <w:p>
      <w:pPr>
        <w:bidi w:val="false"/>
      </w:pPr>
      <w:r>
        <w:rPr>
          <w:rtl w:val="false"/>
        </w:rPr>
        <w:t xml:space="preserve">In the UAE, the Civil Transactions Law is Federal Decree-Law No. 25 of 2025, in force on 1 June 2026. This template does not cite article numbers from that law.</w:t>
      </w:r>
      <w:r>
        <w:rPr>
          <w:rtl w:val="false"/>
        </w:rPr>
        <w:t xml:space="preserve"> [5][6]</w:t>
      </w:r>
    </w:p>
  </w:comment>
  <w:comment w:id="5" w:initials="Q" w:author="Qanu" w:date="2026-10-17T00:00:00.000Z">
    <w:p>
      <w:pPr>
        <w:bidi w:val="false"/>
      </w:pPr>
      <w:r>
        <w:rPr>
          <w:b/>
          <w:bCs/>
          <w:rtl w:val="false"/>
        </w:rPr>
        <w:t xml:space="preserve">Drafting note</w:t>
      </w:r>
    </w:p>
    <w:p>
      <w:pPr>
        <w:bidi w:val="false"/>
      </w:pPr>
      <w:r>
        <w:rPr>
          <w:rtl w:val="false"/>
        </w:rPr>
        <w:t xml:space="preserve">See </w:t>
      </w:r>
      <w:hyperlink w:history="1" r:id="rIdp6_5u7xjogikxpoubkl-b">
        <w:r>
          <w:rPr>
            <w:rStyle w:val="Hyperlink"/>
            <w:rtl w:val="false"/>
          </w:rPr>
          <w:t xml:space="preserve">penalty clause</w:t>
        </w:r>
      </w:hyperlink>
      <w:r>
        <w:rPr>
          <w:rtl w:val="false"/>
        </w:rPr>
        <w:t xml:space="preserve"> in the glossary. Take advice before agreeing a sum: this template does not state whether a court can adjust it. In the UAE, do not cite article numbers from Federal Decree-Law No. 25 of 2025.</w:t>
      </w:r>
      <w:r>
        <w:rPr>
          <w:rtl w:val="false"/>
        </w:rPr>
        <w:t xml:space="preserve"> [5]</w:t>
      </w:r>
    </w:p>
  </w:comment>
  <w:comment w:id="6" w:initials="Q" w:author="Qanu" w:date="2026-10-17T00:00:00.000Z">
    <w:p>
      <w:pPr>
        <w:bidi w:val="false"/>
      </w:pPr>
      <w:r>
        <w:rPr>
          <w:b/>
          <w:bCs/>
          <w:rtl w:val="false"/>
        </w:rPr>
        <w:t xml:space="preserve">Drafting note</w:t>
      </w:r>
    </w:p>
    <w:p>
      <w:pPr>
        <w:bidi w:val="false"/>
      </w:pPr>
      <w:r>
        <w:rPr>
          <w:rtl w:val="false"/>
        </w:rPr>
        <w:t xml:space="preserve">See </w:t>
      </w:r>
      <w:hyperlink w:history="1" r:id="rIdb6f_cpqfgk8r4qriwpfen">
        <w:r>
          <w:rPr>
            <w:rStyle w:val="Hyperlink"/>
            <w:rtl w:val="false"/>
          </w:rPr>
          <w:t xml:space="preserve">force majeure</w:t>
        </w:r>
      </w:hyperlink>
      <w:r>
        <w:rPr>
          <w:rtl w:val="false"/>
        </w:rPr>
        <w:t xml:space="preserve"> in the glossary. Say what happens to delivery dates if the event lasts.</w:t>
      </w:r>
    </w:p>
  </w:comment>
  <w:comment w:id="7" w:initials="Q" w:author="Qanu" w:date="2026-10-17T00:00:00.000Z">
    <w:p>
      <w:pPr>
        <w:bidi w:val="false"/>
      </w:pPr>
      <w:r>
        <w:rPr>
          <w:b/>
          <w:bCs/>
          <w:rtl w:val="false"/>
        </w:rPr>
        <w:t xml:space="preserve">Drafting note</w:t>
      </w:r>
    </w:p>
    <w:p>
      <w:pPr>
        <w:bidi w:val="false"/>
      </w:pPr>
      <w:r>
        <w:rPr>
          <w:rtl w:val="false"/>
        </w:rPr>
        <w:t xml:space="preserve">Name the forum. For arbitration, see </w:t>
      </w:r>
      <w:hyperlink w:history="1" r:id="rIds47goullpq40ooq0fbrzg">
        <w:r>
          <w:rPr>
            <w:rStyle w:val="Hyperlink"/>
            <w:rtl w:val="false"/>
          </w:rPr>
          <w:t xml:space="preserve">arbitration</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https://www.qanu.ai/en/templates/sale-agreement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https://www.qanu.ai/en/templates/sale-agreement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p6_5u7xjogikxpoubkl-b" Type="http://schemas.openxmlformats.org/officeDocument/2006/relationships/hyperlink" Target="https://www.qanu.ai/en/glossary/penalty-clause" TargetMode="External"/><Relationship Id="rIdb6f_cpqfgk8r4qriwpfen" Type="http://schemas.openxmlformats.org/officeDocument/2006/relationships/hyperlink" Target="https://www.qanu.ai/en/glossary/force-majeure" TargetMode="External"/><Relationship Id="rIds47goullpq40ooq0fbrzg" Type="http://schemas.openxmlformats.org/officeDocument/2006/relationships/hyperlink" Target="https://www.qanu.ai/en/glossary/arbitration"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vbxnyur4nysyyefb5_ril" Type="http://schemas.openxmlformats.org/officeDocument/2006/relationships/hyperlink" Target="https://rer.sa/" TargetMode="External"/><Relationship Id="rIde2q1bjnvkyuhnv69cfwkn" Type="http://schemas.openxmlformats.org/officeDocument/2006/relationships/hyperlink" Target="https://laws.moj.gov.sa/ar/legislation/R6fIk9qPUhuhF88Guk0ElQ" TargetMode="External"/><Relationship Id="rIdbevelqzpprw8s8v6yec4j" Type="http://schemas.openxmlformats.org/officeDocument/2006/relationships/hyperlink" Target="https://dlp.dubai.gov.ae/Legislation%20Reference/2006/Law%20No.%20(7)%20of%202006.pdf" TargetMode="External"/><Relationship Id="rIdmrxeza_kjq-jipmvs_pvb" Type="http://schemas.openxmlformats.org/officeDocument/2006/relationships/hyperlink" Target="https://creativecommons.org/licenses/by/4.0/deed.en" TargetMode="External"/><Relationship Id="rIdybjxtio9wzrg988vts6hz" Type="http://schemas.openxmlformats.org/officeDocument/2006/relationships/hyperlink" Target="https://laws.moj.gov.sa/ar/legislation/PBbHmywh1XMp-Kyv3NtQLg" TargetMode="External"/><Relationship Id="rIdzm0gvk3oc0ikmwgmdy16b" Type="http://schemas.openxmlformats.org/officeDocument/2006/relationships/hyperlink" Target="https://laws.moj.gov.sa/ar/legislation/R6fIk9qPUhuhF88Guk0ElQ" TargetMode="External"/><Relationship Id="rIdw3lsgs46-uxtc4od322t1" Type="http://schemas.openxmlformats.org/officeDocument/2006/relationships/hyperlink" Target="https://rer.sa/" TargetMode="External"/><Relationship Id="rId3maafsyzsdl_evnvwkdrh" Type="http://schemas.openxmlformats.org/officeDocument/2006/relationships/hyperlink" Target="https://dlp.dubai.gov.ae/Legislation%20Reference/2006/Law%20No.%20(7)%20of%202006.pdf" TargetMode="External"/><Relationship Id="rId6puunhzaxzf4ebhtckmyd" Type="http://schemas.openxmlformats.org/officeDocument/2006/relationships/hyperlink" Target="https://uaelegislation.gov.ae/en/legislations/4011" TargetMode="External"/><Relationship Id="rIdnxg3bmonkrbbqwfffneta" Type="http://schemas.openxmlformats.org/officeDocument/2006/relationships/hyperlink" Target="https://u.ae/en/information-and-services/justice-safety-and-the-law/Law/how-are-uae-laws-issued-and-how-to-find-them/where-to-find-uae-federal-laws"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agreement template for goods</dc:title>
  <dc:creator>Qanu</dc:creator>
  <cp:keywords>Sale of goods, Movable property,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2026-10-17T17:43:02.243Z</dcterms:created>
  <dcterms:modified xsi:type="dcterms:W3CDTF">2026-10-17T17:43:02.243Z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https://www.qanu.ai/en/templates/sale-agreement</vt:lpwstr>
  </property>
</Properties>
</file>