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111111" w:sz="12" w:space="6"/>
          <w:left w:val="single" w:color="111111" w:sz="12" w:space="6"/>
          <w:bottom w:val="single" w:color="111111" w:sz="12" w:space="6"/>
          <w:right w:val="single" w:color="111111" w:sz="12" w:space="6"/>
        </w:pBdr>
        <w:shd w:fill="FFF4D6" w:color="auto" w:val="clear"/>
        <w:bidi w:val="false"/>
      </w:pPr>
      <w:r>
        <w:rPr>
          <w:b/>
          <w:bCs/>
          <w:rtl w:val="false"/>
        </w:rPr>
        <w:t xml:space="preserve">Document the official contract on Qiwa.</w:t>
      </w:r>
      <w:r>
        <w:rPr>
          <w:rtl w:val="false"/>
        </w:rPr>
        <w:t xml:space="preserve"> In Saudi Arabia, employment contracts must follow the Ministry of Human Resources and Social Development </w:t>
      </w:r>
      <w:r>
        <w:rPr>
          <w:b/>
          <w:bCs/>
          <w:rtl w:val="false"/>
        </w:rPr>
        <w:t xml:space="preserve">unified model</w:t>
      </w:r>
      <w:r>
        <w:rPr>
          <w:rtl w:val="false"/>
        </w:rPr>
        <w:t xml:space="preserve"> and be documented on </w:t>
      </w:r>
      <w:r>
        <w:rPr>
          <w:b/>
          <w:bCs/>
          <w:rtl w:val="false"/>
        </w:rPr>
        <w:t xml:space="preserve">Qiwa</w:t>
      </w:r>
      <w:r>
        <w:rPr>
          <w:rtl w:val="false"/>
        </w:rPr>
        <w:t xml:space="preserve">.</w:t>
      </w:r>
      <w:r>
        <w:rPr>
          <w:rtl w:val="false"/>
        </w:rPr>
        <w:t xml:space="preserve"> [1][2][3]</w:t>
      </w:r>
      <w:r>
        <w:rPr>
          <w:rtl w:val="false"/>
        </w:rPr>
        <w:t xml:space="preserve"> The Labor Law is Royal Decree No. M/51 of 23/8/1426H, as amended up to Royal Decree No. M/44 of 8/2/1446H.</w:t>
      </w:r>
      <w:r>
        <w:rPr>
          <w:rtl w:val="false"/>
        </w:rPr>
        <w:t xml:space="preserve"> [1][6][4]</w:t>
      </w:r>
      <w:r>
        <w:rPr>
          <w:rtl w:val="false"/>
        </w:rPr>
        <w:t xml:space="preserve"> A non-Saudi’s contract must be written and fixed-term (Article 37).</w:t>
      </w:r>
      <w:r>
        <w:rPr>
          <w:rtl w:val="false"/>
        </w:rPr>
        <w:t xml:space="preserve"> [1]</w:t>
      </w:r>
      <w:r>
        <w:rPr>
          <w:rtl w:val="false"/>
        </w:rPr>
        <w:t xml:space="preserve"> This file is a checklist. It does not replace the documented contract.</w:t>
      </w:r>
    </w:p>
    <w:p>
      <w:pPr>
        <w:pBdr>
          <w:top w:val="single" w:color="111111" w:sz="12" w:space="6"/>
          <w:left w:val="single" w:color="111111" w:sz="12" w:space="6"/>
          <w:bottom w:val="single" w:color="111111" w:sz="12" w:space="6"/>
          <w:right w:val="single" w:color="111111" w:sz="12" w:space="6"/>
        </w:pBdr>
        <w:shd w:fill="FFF4D6" w:color="auto" w:val="clear"/>
        <w:bidi w:val="false"/>
      </w:pPr>
      <w:r>
        <w:rPr>
          <w:b/>
          <w:bCs/>
          <w:sz w:val="19"/>
          <w:szCs w:val="19"/>
          <w:rtl w:val="false"/>
        </w:rPr>
        <w:t xml:space="preserve">↗ Qiwa contract management: </w:t>
      </w:r>
      <w:hyperlink w:history="1" r:id="rIdmhywnm_3jti1vtkitvvwr">
        <w:r>
          <w:rPr>
            <w:rStyle w:val="Hyperlink"/>
            <w:sz w:val="17"/>
            <w:szCs w:val="17"/>
          </w:rPr>
          <w:t xml:space="preserve">https://qiwa.sa/ar/service-overview/business-owners/manage-current-employees/contract-management</w:t>
        </w:r>
      </w:hyperlink>
    </w:p>
    <w:p>
      <w:pPr>
        <w:pBdr>
          <w:top w:val="single" w:color="111111" w:sz="12" w:space="6"/>
          <w:left w:val="single" w:color="111111" w:sz="12" w:space="6"/>
          <w:bottom w:val="single" w:color="111111" w:sz="12" w:space="6"/>
          <w:right w:val="single" w:color="111111" w:sz="12" w:space="6"/>
        </w:pBdr>
        <w:shd w:fill="FFF4D6" w:color="auto" w:val="clear"/>
        <w:bidi w:val="false"/>
      </w:pPr>
      <w:r>
        <w:rPr>
          <w:b/>
          <w:bCs/>
          <w:sz w:val="19"/>
          <w:szCs w:val="19"/>
          <w:rtl w:val="false"/>
        </w:rPr>
        <w:t xml:space="preserve">↗ HRSD Labor Law (PDF): </w:t>
      </w:r>
      <w:hyperlink w:history="1" r:id="rIdaxpbeimifdzuvnbizsivs">
        <w:r>
          <w:rPr>
            <w:rStyle w:val="Hyperlink"/>
            <w:sz w:val="17"/>
            <w:szCs w:val="17"/>
          </w:rPr>
          <w:t xml:space="preserve">https://www.hrsd.gov.sa/sites/default/files/2025-11/labor-law.pdf</w:t>
        </w:r>
      </w:hyperlink>
    </w:p>
    <w:p>
      <w:pPr>
        <w:pBdr>
          <w:top w:val="single" w:color="111111" w:sz="12" w:space="6"/>
          <w:left w:val="single" w:color="111111" w:sz="12" w:space="6"/>
          <w:bottom w:val="single" w:color="111111" w:sz="12" w:space="6"/>
          <w:right w:val="single" w:color="111111" w:sz="12" w:space="6"/>
        </w:pBdr>
        <w:shd w:fill="FFF4D6" w:color="auto" w:val="clear"/>
        <w:bidi w:val="false"/>
      </w:pPr>
      <w:r>
        <w:rPr>
          <w:b/>
          <w:bCs/>
          <w:sz w:val="19"/>
          <w:szCs w:val="19"/>
          <w:rtl w:val="false"/>
        </w:rPr>
        <w:t xml:space="preserve">↗ HRSD, documenting contracts on Qiwa: </w:t>
      </w:r>
      <w:hyperlink w:history="1" r:id="rId4gmzs1r2czc-et9oyotie">
        <w:r>
          <w:rPr>
            <w:rStyle w:val="Hyperlink"/>
            <w:sz w:val="17"/>
            <w:szCs w:val="17"/>
          </w:rPr>
          <w:t xml:space="preserve">https://www.hrsd.gov.sa/media-center/news/1171584</w:t>
        </w:r>
      </w:hyperlink>
    </w:p>
    <w:p>
      <w:pPr>
        <w:pBdr>
          <w:top w:val="single" w:color="111111" w:sz="12" w:space="6"/>
          <w:left w:val="single" w:color="111111" w:sz="12" w:space="6"/>
          <w:bottom w:val="single" w:color="111111" w:sz="12" w:space="6"/>
          <w:right w:val="single" w:color="111111" w:sz="12" w:space="6"/>
        </w:pBdr>
        <w:shd w:fill="FFF4D6" w:color="auto" w:val="clear"/>
        <w:bidi w:val="false"/>
      </w:pPr>
      <w:r>
        <w:rPr>
          <w:b/>
          <w:bCs/>
          <w:sz w:val="19"/>
          <w:szCs w:val="19"/>
          <w:rtl w:val="false"/>
        </w:rPr>
        <w:t xml:space="preserve">UAE:</w:t>
      </w:r>
      <w:r>
        <w:rPr>
          <w:sz w:val="19"/>
          <w:szCs w:val="19"/>
          <w:rtl w:val="false"/>
        </w:rPr>
        <w:t xml:space="preserve"> register the contract with MOHRE. Use the </w:t>
      </w:r>
      <w:hyperlink w:history="1" r:id="rIdvctvrov7cq-fqfbtlz0st">
        <w:r>
          <w:rPr>
            <w:rStyle w:val="Hyperlink"/>
            <w:sz w:val="19"/>
            <w:szCs w:val="19"/>
            <w:rtl w:val="false"/>
          </w:rPr>
          <w:t xml:space="preserve">UAE employment contract</w:t>
        </w:r>
      </w:hyperlink>
      <w:r>
        <w:rPr>
          <w:sz w:val="19"/>
          <w:szCs w:val="19"/>
          <w:rtl w:val="false"/>
        </w:rPr>
        <w:t xml:space="preserve">.</w:t>
      </w:r>
      <w:r>
        <w:rPr>
          <w:sz w:val="19"/>
          <w:szCs w:val="19"/>
          <w:rtl w:val="false"/>
        </w:rPr>
        <w:t xml:space="preserve"> [8][9]</w:t>
      </w:r>
    </w:p>
    <w:p>
      <w:pPr>
        <w:pBdr>
          <w:top w:val="single" w:color="111111" w:sz="12" w:space="6"/>
          <w:left w:val="single" w:color="111111" w:sz="12" w:space="6"/>
          <w:bottom w:val="single" w:color="111111" w:sz="12" w:space="6"/>
          <w:right w:val="single" w:color="111111" w:sz="12" w:space="6"/>
        </w:pBdr>
        <w:shd w:fill="FFF4D6" w:color="auto" w:val="clear"/>
        <w:bidi w:val="false"/>
      </w:pPr>
      <w:r>
        <w:rPr>
          <w:b/>
          <w:bCs/>
          <w:sz w:val="19"/>
          <w:szCs w:val="19"/>
          <w:rtl w:val="false"/>
        </w:rPr>
        <w:t xml:space="preserve">Qatar, Bahrain, Kuwait, Oman:</w:t>
      </w:r>
      <w:r>
        <w:rPr>
          <w:sz w:val="19"/>
          <w:szCs w:val="19"/>
          <w:rtl w:val="false"/>
        </w:rPr>
        <w:t xml:space="preserve"> under review. No article number is stated.</w:t>
      </w:r>
    </w:p>
    <w:p>
      <w:pPr>
        <w:bidi w:val="false"/>
        <w:spacing w:after="240"/>
      </w:pPr>
    </w:p>
    <w:p>
      <w:pPr>
        <w:pStyle w:val="Title"/>
        <w:bidi w:val="false"/>
      </w:pPr>
      <w:r>
        <w:rPr>
          <w:rtl w:val="false"/>
        </w:rPr>
        <w:t xml:space="preserve">Saudi employment contract</w:t>
      </w:r>
    </w:p>
    <w:p>
      <w:pPr>
        <w:bidi w:val="false"/>
        <w:spacing w:after="240"/>
      </w:pPr>
      <w:r>
        <w:rPr>
          <w:color w:val="444444"/>
          <w:rtl w:val="false"/>
        </w:rPr>
        <w:t xml:space="preserve">A private-sector checklist for Saudi Arabia: parties, job, term, wage, notice and the end-of-service award. The unified model documented on Qiwa is the binding contract. It is not a UAE MOHRE form. Replace every </w:t>
      </w:r>
      <w:r>
        <w:rPr>
          <w:color w:val="444444"/>
          <w:highlight w:val="yellow"/>
          <w:rtl w:val="false"/>
        </w:rPr>
        <w:t xml:space="preserve">[</w:t>
      </w:r>
      <w:r>
        <w:rPr>
          <w:color w:val="444444"/>
          <w:highlight w:val="yellow"/>
          <w:rtl w:val="false"/>
        </w:rPr>
        <w:t xml:space="preserve">placeholder</w:t>
      </w:r>
      <w:r>
        <w:rPr>
          <w:color w:val="444444"/>
          <w:highlight w:val="yellow"/>
          <w:rtl w:val="false"/>
        </w:rPr>
        <w:t xml:space="preserve">]</w:t>
      </w:r>
      <w:r>
        <w:rPr>
          <w:color w:val="444444"/>
          <w:rtl w:val="false"/>
        </w:rPr>
        <w:t xml:space="preserve">.</w:t>
      </w:r>
    </w:p>
    <w:p>
      <w:pPr>
        <w:pStyle w:val="Heading1"/>
        <w:bidi w:val="false"/>
      </w:pPr>
      <w:commentRangeStart w:id="0"/>
      <w:r>
        <w:rPr>
          <w:rtl w:val="false"/>
        </w:rPr>
        <w:t xml:space="preserve">1. Parties</w:t>
      </w:r>
      <w:commentRangeEnd w:id="0"/>
      <w:r>
        <w:rPr>
          <w:rtl w:val="false"/>
        </w:rPr>
        <w:commentReference w:id="0"/>
      </w:r>
    </w:p>
    <w:p>
      <w:pPr>
        <w:bidi w:val="false"/>
      </w:pPr>
      <w:r>
        <w:rPr>
          <w:rtl w:val="false"/>
        </w:rPr>
        <w:t xml:space="preserve">This contract is made on </w:t>
      </w:r>
      <w:r>
        <w:rPr>
          <w:highlight w:val="yellow"/>
          <w:rtl w:val="false"/>
        </w:rPr>
        <w:t xml:space="preserve">[</w:t>
      </w:r>
      <w:r>
        <w:rPr>
          <w:highlight w:val="yellow"/>
          <w:rtl w:val="false"/>
        </w:rPr>
        <w:t xml:space="preserve">date</w:t>
      </w:r>
      <w:r>
        <w:rPr>
          <w:highlight w:val="yellow"/>
          <w:rtl w:val="false"/>
        </w:rPr>
        <w:t xml:space="preserve">]</w:t>
      </w:r>
      <w:r>
        <w:rPr>
          <w:rtl w:val="false"/>
        </w:rPr>
        <w:t xml:space="preserve"> at </w:t>
      </w:r>
      <w:r>
        <w:rPr>
          <w:highlight w:val="yellow"/>
          <w:rtl w:val="false"/>
        </w:rPr>
        <w:t xml:space="preserve">[</w:t>
      </w:r>
      <w:r>
        <w:rPr>
          <w:highlight w:val="yellow"/>
          <w:rtl w:val="false"/>
        </w:rPr>
        <w:t xml:space="preserve">city</w:t>
      </w:r>
      <w:r>
        <w:rPr>
          <w:highlight w:val="yellow"/>
          <w:rtl w:val="false"/>
        </w:rPr>
        <w:t xml:space="preserve">]</w:t>
      </w:r>
      <w:r>
        <w:rPr>
          <w:rtl w:val="false"/>
        </w:rPr>
        <w:t xml:space="preserve"> between: (1) </w:t>
      </w:r>
      <w:r>
        <w:rPr>
          <w:highlight w:val="yellow"/>
          <w:rtl w:val="false"/>
        </w:rPr>
        <w:t xml:space="preserve">[</w:t>
      </w:r>
      <w:r>
        <w:rPr>
          <w:highlight w:val="yellow"/>
          <w:rtl w:val="false"/>
        </w:rPr>
        <w:t xml:space="preserve">Employer name</w:t>
      </w:r>
      <w:r>
        <w:rPr>
          <w:highlight w:val="yellow"/>
          <w:rtl w:val="false"/>
        </w:rPr>
        <w:t xml:space="preserve">]</w:t>
      </w:r>
      <w:r>
        <w:rPr>
          <w:rtl w:val="false"/>
        </w:rPr>
        <w:t xml:space="preserve">, </w:t>
      </w:r>
      <w:r>
        <w:rPr>
          <w:highlight w:val="yellow"/>
          <w:rtl w:val="false"/>
        </w:rPr>
        <w:t xml:space="preserve">[</w:t>
      </w:r>
      <w:r>
        <w:rPr>
          <w:highlight w:val="yellow"/>
          <w:rtl w:val="false"/>
        </w:rPr>
        <w:t xml:space="preserve">legal form</w:t>
      </w:r>
      <w:r>
        <w:rPr>
          <w:highlight w:val="yellow"/>
          <w:rtl w:val="false"/>
        </w:rPr>
        <w:t xml:space="preserve">]</w:t>
      </w:r>
      <w:r>
        <w:rPr>
          <w:rtl w:val="false"/>
        </w:rPr>
        <w:t xml:space="preserve">, commercial registration no.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establishment/unified no.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address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represented by </w:t>
      </w:r>
      <w:r>
        <w:rPr>
          <w:highlight w:val="yellow"/>
          <w:rtl w:val="false"/>
        </w:rPr>
        <w:t xml:space="preserve">[</w:t>
      </w:r>
      <w:r>
        <w:rPr>
          <w:highlight w:val="yellow"/>
          <w:rtl w:val="false"/>
        </w:rPr>
        <w:t xml:space="preserve">name, capacity</w:t>
      </w:r>
      <w:r>
        <w:rPr>
          <w:highlight w:val="yellow"/>
          <w:rtl w:val="false"/>
        </w:rPr>
        <w:t xml:space="preserve">]</w:t>
      </w:r>
      <w:r>
        <w:rPr>
          <w:rtl w:val="false"/>
        </w:rPr>
        <w:t xml:space="preserve"> (the “Employer”); and (2) </w:t>
      </w:r>
      <w:r>
        <w:rPr>
          <w:highlight w:val="yellow"/>
          <w:rtl w:val="false"/>
        </w:rPr>
        <w:t xml:space="preserve">[</w:t>
      </w:r>
      <w:r>
        <w:rPr>
          <w:highlight w:val="yellow"/>
          <w:rtl w:val="false"/>
        </w:rPr>
        <w:t xml:space="preserve">Employee name</w:t>
      </w:r>
      <w:r>
        <w:rPr>
          <w:highlight w:val="yellow"/>
          <w:rtl w:val="false"/>
        </w:rPr>
        <w:t xml:space="preserve">]</w:t>
      </w:r>
      <w:r>
        <w:rPr>
          <w:rtl w:val="false"/>
        </w:rPr>
        <w:t xml:space="preserve">, nationality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ID/residence/passport no.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address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(the “Employee”).</w:t>
      </w:r>
    </w:p>
    <w:p>
      <w:pPr>
        <w:pStyle w:val="Heading1"/>
        <w:bidi w:val="false"/>
      </w:pPr>
      <w:r>
        <w:rPr>
          <w:rtl w:val="false"/>
        </w:rPr>
        <w:t xml:space="preserve">2. Position and place of work</w:t>
      </w:r>
    </w:p>
    <w:p>
      <w:pPr>
        <w:bidi w:val="false"/>
      </w:pPr>
      <w:r>
        <w:rPr>
          <w:rtl w:val="false"/>
        </w:rPr>
        <w:t xml:space="preserve">The Employee is employed as </w:t>
      </w:r>
      <w:r>
        <w:rPr>
          <w:highlight w:val="yellow"/>
          <w:rtl w:val="false"/>
        </w:rPr>
        <w:t xml:space="preserve">[</w:t>
      </w:r>
      <w:r>
        <w:rPr>
          <w:highlight w:val="yellow"/>
          <w:rtl w:val="false"/>
        </w:rPr>
        <w:t xml:space="preserve">job title</w:t>
      </w:r>
      <w:r>
        <w:rPr>
          <w:highlight w:val="yellow"/>
          <w:rtl w:val="false"/>
        </w:rPr>
        <w:t xml:space="preserve">]</w:t>
      </w:r>
      <w:r>
        <w:rPr>
          <w:rtl w:val="false"/>
        </w:rPr>
        <w:t xml:space="preserve"> in </w:t>
      </w:r>
      <w:r>
        <w:rPr>
          <w:highlight w:val="yellow"/>
          <w:rtl w:val="false"/>
        </w:rPr>
        <w:t xml:space="preserve">[</w:t>
      </w:r>
      <w:r>
        <w:rPr>
          <w:highlight w:val="yellow"/>
          <w:rtl w:val="false"/>
        </w:rPr>
        <w:t xml:space="preserve">department</w:t>
      </w:r>
      <w:r>
        <w:rPr>
          <w:highlight w:val="yellow"/>
          <w:rtl w:val="false"/>
        </w:rPr>
        <w:t xml:space="preserve">]</w:t>
      </w:r>
      <w:r>
        <w:rPr>
          <w:rtl w:val="false"/>
        </w:rPr>
        <w:t xml:space="preserve">, at </w:t>
      </w:r>
      <w:r>
        <w:rPr>
          <w:highlight w:val="yellow"/>
          <w:rtl w:val="false"/>
        </w:rPr>
        <w:t xml:space="preserve">[</w:t>
      </w:r>
      <w:r>
        <w:rPr>
          <w:highlight w:val="yellow"/>
          <w:rtl w:val="false"/>
        </w:rPr>
        <w:t xml:space="preserve">work location</w:t>
      </w:r>
      <w:r>
        <w:rPr>
          <w:highlight w:val="yellow"/>
          <w:rtl w:val="false"/>
        </w:rPr>
        <w:t xml:space="preserve">]</w:t>
      </w:r>
      <w:r>
        <w:rPr>
          <w:rtl w:val="false"/>
        </w:rPr>
        <w:t xml:space="preserve">. For a non-Saudi, the title must match the occupation in the work permit. The Employee reports to </w:t>
      </w:r>
      <w:r>
        <w:rPr>
          <w:highlight w:val="yellow"/>
          <w:rtl w:val="false"/>
        </w:rPr>
        <w:t xml:space="preserve">[</w:t>
      </w:r>
      <w:r>
        <w:rPr>
          <w:highlight w:val="yellow"/>
          <w:rtl w:val="false"/>
        </w:rPr>
        <w:t xml:space="preserve">title</w:t>
      </w:r>
      <w:r>
        <w:rPr>
          <w:highlight w:val="yellow"/>
          <w:rtl w:val="false"/>
        </w:rPr>
        <w:t xml:space="preserve">]</w:t>
      </w:r>
      <w:r>
        <w:rPr>
          <w:rtl w:val="false"/>
        </w:rPr>
        <w:t xml:space="preserve">.</w:t>
      </w:r>
    </w:p>
    <w:p>
      <w:pPr>
        <w:pStyle w:val="Heading1"/>
        <w:bidi w:val="false"/>
      </w:pPr>
      <w:r>
        <w:rPr>
          <w:rtl w:val="false"/>
        </w:rPr>
        <w:t xml:space="preserve">3. Start date, term and probation</w:t>
      </w:r>
    </w:p>
    <w:p>
      <w:pPr>
        <w:bidi w:val="false"/>
      </w:pPr>
      <w:r>
        <w:rPr>
          <w:rtl w:val="false"/>
        </w:rPr>
        <w:t xml:space="preserve">The Employee starts on </w:t>
      </w:r>
      <w:r>
        <w:rPr>
          <w:highlight w:val="yellow"/>
          <w:rtl w:val="false"/>
        </w:rPr>
        <w:t xml:space="preserve">[</w:t>
      </w:r>
      <w:r>
        <w:rPr>
          <w:highlight w:val="yellow"/>
          <w:rtl w:val="false"/>
        </w:rPr>
        <w:t xml:space="preserve">date</w:t>
      </w:r>
      <w:r>
        <w:rPr>
          <w:highlight w:val="yellow"/>
          <w:rtl w:val="false"/>
        </w:rPr>
        <w:t xml:space="preserve">]</w:t>
      </w:r>
      <w:r>
        <w:rPr>
          <w:rtl w:val="false"/>
        </w:rPr>
        <w:t xml:space="preserve">.</w:t>
      </w:r>
    </w:p>
    <w:p>
      <w:pPr>
        <w:bidi w:val="false"/>
      </w:pPr>
      <w:r>
        <w:rPr>
          <w:b/>
          <w:bCs/>
          <w:rtl w:val="false"/>
        </w:rPr>
        <w:t xml:space="preserve">Option A (fixed term):</w:t>
      </w:r>
      <w:r>
        <w:rPr>
          <w:rtl w:val="false"/>
        </w:rPr>
        <w:t xml:space="preserve"> this contract is for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months/years from the start date. A non-Saudi’s contract must be written and fixed-term; if no term is stated, the term is one year from the actual start (Article 37).</w:t>
      </w:r>
    </w:p>
    <w:p>
      <w:pPr>
        <w:bidi w:val="false"/>
      </w:pPr>
      <w:r>
        <w:rPr>
          <w:b/>
          <w:bCs/>
          <w:rtl w:val="false"/>
        </w:rPr>
        <w:t xml:space="preserve">Option B (indefinite term):</w:t>
      </w:r>
      <w:r>
        <w:rPr>
          <w:rtl w:val="false"/>
        </w:rPr>
        <w:t xml:space="preserve"> this contract is for an indefinite term. Do not use this option for a non-Saudi.</w:t>
      </w:r>
    </w:p>
    <w:p>
      <w:pPr>
        <w:bidi w:val="false"/>
      </w:pPr>
      <w:r>
        <w:rPr>
          <w:b/>
          <w:bCs/>
          <w:rtl w:val="false"/>
        </w:rPr>
        <w:t xml:space="preserve">Option:</w:t>
      </w:r>
      <w:r>
        <w:rPr>
          <w:rtl w:val="false"/>
        </w:rPr>
        <w:t xml:space="preserve"> the Employee is on probation for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days from the start date. The period must be stated expressly, and the total may not exceed 180 days.</w:t>
      </w:r>
    </w:p>
    <w:p>
      <w:pPr>
        <w:pStyle w:val="Heading1"/>
        <w:bidi w:val="false"/>
      </w:pPr>
      <w:commentRangeStart w:id="1"/>
      <w:r>
        <w:rPr>
          <w:rtl w:val="false"/>
        </w:rPr>
        <w:t xml:space="preserve">4. Wage and benefits</w:t>
      </w:r>
      <w:commentRangeEnd w:id="1"/>
      <w:r>
        <w:rPr>
          <w:rtl w:val="false"/>
        </w:rPr>
        <w:commentReference w:id="1"/>
      </w:r>
    </w:p>
    <w:p>
      <w:pPr>
        <w:bidi w:val="false"/>
      </w:pPr>
      <w:r>
        <w:rPr>
          <w:rtl w:val="false"/>
        </w:rPr>
        <w:t xml:space="preserve">Monthly wage: </w:t>
      </w:r>
      <w:r>
        <w:rPr>
          <w:highlight w:val="yellow"/>
          <w:rtl w:val="false"/>
        </w:rPr>
        <w:t xml:space="preserve">[</w:t>
      </w:r>
      <w:r>
        <w:rPr>
          <w:highlight w:val="yellow"/>
          <w:rtl w:val="false"/>
        </w:rPr>
        <w:t xml:space="preserve">amount, currency</w:t>
      </w:r>
      <w:r>
        <w:rPr>
          <w:highlight w:val="yellow"/>
          <w:rtl w:val="false"/>
        </w:rPr>
        <w:t xml:space="preserve">]</w:t>
      </w:r>
      <w:r>
        <w:rPr>
          <w:rtl w:val="false"/>
        </w:rPr>
        <w:t xml:space="preserve">, including: basic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housing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transport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other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The wage is paid monthly by bank transfer to the Employee's account.</w:t>
      </w:r>
    </w:p>
    <w:p>
      <w:pPr>
        <w:pStyle w:val="Heading1"/>
        <w:bidi w:val="false"/>
      </w:pPr>
      <w:commentRangeStart w:id="2"/>
      <w:r>
        <w:rPr>
          <w:rtl w:val="false"/>
        </w:rPr>
        <w:t xml:space="preserve">5. Duties of the parties</w:t>
      </w:r>
      <w:commentRangeEnd w:id="2"/>
      <w:r>
        <w:rPr>
          <w:rtl w:val="false"/>
        </w:rPr>
        <w:commentReference w:id="2"/>
      </w:r>
    </w:p>
    <w:p>
      <w:pPr>
        <w:bidi w:val="false"/>
      </w:pPr>
      <w:r>
        <w:rPr>
          <w:rtl w:val="false"/>
        </w:rPr>
        <w:t xml:space="preserve">The Employee performs the work diligently, follows lawful instructions, and protects the Employer's property. The Employer provides the agreed work, pays the wage on time, and provides a safe workplace.</w:t>
      </w:r>
    </w:p>
    <w:p>
      <w:pPr>
        <w:pStyle w:val="Heading1"/>
        <w:bidi w:val="false"/>
      </w:pPr>
      <w:commentRangeStart w:id="3"/>
      <w:r>
        <w:rPr>
          <w:rtl w:val="false"/>
        </w:rPr>
        <w:t xml:space="preserve">6. Termination and notice</w:t>
      </w:r>
      <w:commentRangeEnd w:id="3"/>
      <w:r>
        <w:rPr>
          <w:rtl w:val="false"/>
        </w:rPr>
        <w:commentReference w:id="3"/>
      </w:r>
    </w:p>
    <w:p>
      <w:pPr>
        <w:bidi w:val="false"/>
      </w:pPr>
      <w:r>
        <w:rPr>
          <w:rtl w:val="false"/>
        </w:rPr>
        <w:t xml:space="preserve">Either party may end this contract in the cases set by the Labor Law. On an indefinite contract, where notice is required: if the wage is monthly, the Employer gives at least sixty days’ written notice and the Employee at least thirty days; if the wage is not monthly, either party gives at least thirty days (Article 75). A party who skips that period pays the other an amount equal to the Employee’s wage for the notice period, unless they agree on more (Article 76).</w:t>
      </w:r>
    </w:p>
    <w:p>
      <w:pPr>
        <w:pStyle w:val="Heading1"/>
        <w:bidi w:val="false"/>
      </w:pPr>
      <w:commentRangeStart w:id="4"/>
      <w:r>
        <w:rPr>
          <w:rtl w:val="false"/>
        </w:rPr>
        <w:t xml:space="preserve">7. End-of-service award</w:t>
      </w:r>
      <w:commentRangeEnd w:id="4"/>
      <w:r>
        <w:rPr>
          <w:rtl w:val="false"/>
        </w:rPr>
        <w:commentReference w:id="4"/>
      </w:r>
    </w:p>
    <w:p>
      <w:pPr>
        <w:bidi w:val="false"/>
      </w:pPr>
      <w:r>
        <w:rPr>
          <w:rtl w:val="false"/>
        </w:rPr>
        <w:t xml:space="preserve">On termination, the Employee is entitled to the award under Article 84: half a month’s last wage for each of the first five years, and one month’s last wage for each later year. Fractions of a year count. The parties may agree to leave commissions, and percentages of the sale price, out of that base.</w:t>
      </w:r>
      <w:r>
        <w:rPr>
          <w:rtl w:val="false"/>
        </w:rPr>
        <w:t xml:space="preserve"> Resignation fractions exist in the Labor Law: one third after two to five consecutive years, two thirds above five and under ten, and the full award at ten or more.</w:t>
      </w:r>
    </w:p>
    <w:p>
      <w:pPr>
        <w:pStyle w:val="Heading1"/>
        <w:bidi w:val="false"/>
      </w:pPr>
      <w:commentRangeStart w:id="5"/>
      <w:r>
        <w:rPr>
          <w:rtl w:val="false"/>
        </w:rPr>
        <w:t xml:space="preserve">8. Official contract, language and signatures</w:t>
      </w:r>
      <w:commentRangeEnd w:id="5"/>
      <w:r>
        <w:rPr>
          <w:rtl w:val="false"/>
        </w:rPr>
        <w:commentReference w:id="5"/>
      </w:r>
    </w:p>
    <w:p>
      <w:pPr>
        <w:bidi w:val="false"/>
      </w:pPr>
      <w:r>
        <w:rPr>
          <w:rtl w:val="false"/>
        </w:rPr>
        <w:t xml:space="preserve">The parties shall document this contract on Qiwa. If this document and the documented contract conflict, the documented contract prevails.</w:t>
      </w:r>
      <w:r>
        <w:rPr>
          <w:rtl w:val="false"/>
        </w:rPr>
        <w:t xml:space="preserve"> Arabic and English, with Arabic prevailing (Article 9).</w:t>
      </w:r>
      <w:r>
        <w:rPr>
          <w:rtl w:val="false"/>
        </w:rPr>
        <w:t xml:space="preserve"> Signed in two copies.</w:t>
      </w:r>
    </w:p>
    <w:p>
      <w:pPr>
        <w:pBdr>
          <w:top w:val="single" w:color="888888" w:sz="6" w:space="6"/>
          <w:left w:val="single" w:color="888888" w:sz="6" w:space="6"/>
          <w:bottom w:val="single" w:color="888888" w:sz="6" w:space="6"/>
          <w:right w:val="single" w:color="888888" w:sz="6" w:space="6"/>
        </w:pBdr>
        <w:bidi w:val="false"/>
        <w:spacing w:after="120"/>
      </w:pPr>
      <w:r>
        <w:rPr>
          <w:b/>
          <w:bCs/>
          <w:rtl w:val="false"/>
        </w:rPr>
        <w:t xml:space="preserve">Employer:</w:t>
      </w:r>
      <w:r>
        <w:rPr>
          <w:rtl w:val="false"/>
        </w:rPr>
        <w:t xml:space="preserve"> name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 title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 signature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 date </w:t>
      </w:r>
      <w:r>
        <w:rPr>
          <w:highlight w:val="yellow"/>
          <w:rtl w:val="false"/>
        </w:rPr>
        <w:t xml:space="preserve">[</w:t>
      </w:r>
      <w:r>
        <w:rPr>
          <w:highlight w:val="yellow"/>
          <w:rtl w:val="false"/>
        </w:rPr>
        <w:t xml:space="preserve">●</w:t>
      </w:r>
      <w:r>
        <w:rPr>
          <w:highlight w:val="yellow"/>
          <w:rtl w:val="false"/>
        </w:rPr>
        <w:t xml:space="preserve">]</w:t>
      </w:r>
    </w:p>
    <w:p>
      <w:pPr>
        <w:pBdr>
          <w:top w:val="single" w:color="888888" w:sz="6" w:space="6"/>
          <w:left w:val="single" w:color="888888" w:sz="6" w:space="6"/>
          <w:bottom w:val="single" w:color="888888" w:sz="6" w:space="6"/>
          <w:right w:val="single" w:color="888888" w:sz="6" w:space="6"/>
        </w:pBdr>
        <w:bidi w:val="false"/>
        <w:spacing w:after="120"/>
      </w:pPr>
      <w:r>
        <w:rPr>
          <w:b/>
          <w:bCs/>
          <w:rtl w:val="false"/>
        </w:rPr>
        <w:t xml:space="preserve">Employee:</w:t>
      </w:r>
      <w:r>
        <w:rPr>
          <w:rtl w:val="false"/>
        </w:rPr>
        <w:t xml:space="preserve"> name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 signature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 date </w:t>
      </w:r>
      <w:r>
        <w:rPr>
          <w:highlight w:val="yellow"/>
          <w:rtl w:val="false"/>
        </w:rPr>
        <w:t xml:space="preserve">[</w:t>
      </w:r>
      <w:r>
        <w:rPr>
          <w:highlight w:val="yellow"/>
          <w:rtl w:val="false"/>
        </w:rPr>
        <w:t xml:space="preserve">●</w:t>
      </w:r>
      <w:r>
        <w:rPr>
          <w:highlight w:val="yellow"/>
          <w:rtl w:val="false"/>
        </w:rPr>
        <w:t xml:space="preserve">]</w:t>
      </w:r>
    </w:p>
    <w:p>
      <w:pPr>
        <w:pStyle w:val="Heading1"/>
        <w:pageBreakBefore/>
        <w:bidi w:val="false"/>
      </w:pPr>
      <w:r>
        <w:rPr>
          <w:rtl w:val="false"/>
        </w:rPr>
        <w:t xml:space="preserve">Saudi Arabia notes</w:t>
      </w:r>
    </w:p>
    <w:p>
      <w:pPr>
        <w:bidi w:val="false"/>
      </w:pPr>
      <w:r>
        <w:rPr>
          <w:rtl w:val="false"/>
        </w:rPr>
        <w:t xml:space="preserve">Labor Law (Royal Decree No. M/51 of 23/8/1426H), as amended up to Royal Decree No. M/44 of 8/2/1446H.</w:t>
      </w:r>
      <w:r>
        <w:rPr>
          <w:rtl w:val="false"/>
        </w:rPr>
        <w:t xml:space="preserve"> [1][6]</w:t>
      </w:r>
    </w:p>
    <w:tbl>
      <w:tblPr>
        <w:bidiVisual w:val="off"/>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753"/>
        <w:gridCol w:w="4753"/>
      </w:tblGrid>
      <w:tr>
        <w:trPr>
          <w:tblHeader/>
        </w:trPr>
        <w:tc>
          <w:tcPr>
            <w:shd w:fill="EDEDED" w:color="auto" w:val="clear"/>
            <w:tcMar>
              <w:top w:type="dxa" w:w="80"/>
              <w:left w:type="dxa" w:w="100"/>
              <w:bottom w:type="dxa" w:w="80"/>
              <w:right w:type="dxa" w:w="100"/>
            </w:tcMar>
          </w:tcPr>
          <w:p>
            <w:pPr>
              <w:bidi w:val="false"/>
              <w:spacing w:after="0"/>
            </w:pPr>
            <w:r>
              <w:rPr>
                <w:b/>
                <w:bCs/>
                <w:sz w:val="18"/>
                <w:szCs w:val="18"/>
                <w:rtl w:val="false"/>
              </w:rPr>
              <w:t xml:space="preserve">Item</w:t>
            </w:r>
          </w:p>
        </w:tc>
        <w:tc>
          <w:tcPr>
            <w:shd w:fill="EDEDED" w:color="auto" w:val="clear"/>
            <w:tcMar>
              <w:top w:type="dxa" w:w="80"/>
              <w:left w:type="dxa" w:w="100"/>
              <w:bottom w:type="dxa" w:w="80"/>
              <w:right w:type="dxa" w:w="100"/>
            </w:tcMar>
          </w:tcPr>
          <w:p>
            <w:pPr>
              <w:bidi w:val="false"/>
              <w:spacing w:after="0"/>
            </w:pPr>
            <w:r>
              <w:rPr>
                <w:b/>
                <w:bCs/>
                <w:sz w:val="18"/>
                <w:szCs w:val="18"/>
                <w:rtl w:val="false"/>
              </w:rPr>
              <w:t xml:space="preserve">What the text states</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Form and documentation</w:t>
            </w:r>
          </w:p>
        </w:tc>
        <w:tc>
          <w:tcPr>
            <w:tcMar>
              <w:top w:type="dxa" w:w="80"/>
              <w:left w:type="dxa" w:w="100"/>
              <w:bottom w:type="dxa" w:w="80"/>
              <w:right w:type="dxa" w:w="100"/>
            </w:tcMar>
          </w:tcPr>
          <w:p>
            <w:pPr>
              <w:bidi w:val="false"/>
              <w:spacing w:after="0"/>
            </w:pPr>
            <w:r>
              <w:rPr>
                <w:b w:val="false"/>
                <w:sz w:val="18"/>
                <w:szCs w:val="18"/>
                <w:rtl w:val="false"/>
              </w:rPr>
              <w:t xml:space="preserve">The Ministry's unified model; documented on Qiwa (Articles 51–52).</w:t>
            </w:r>
            <w:r>
              <w:rPr>
                <w:b w:val="false"/>
                <w:sz w:val="18"/>
                <w:szCs w:val="18"/>
                <w:rtl w:val="false"/>
              </w:rPr>
              <w:t xml:space="preserve"> [1][2][3]</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Language</w:t>
            </w:r>
          </w:p>
        </w:tc>
        <w:tc>
          <w:tcPr>
            <w:tcMar>
              <w:top w:type="dxa" w:w="80"/>
              <w:left w:type="dxa" w:w="100"/>
              <w:bottom w:type="dxa" w:w="80"/>
              <w:right w:type="dxa" w:w="100"/>
            </w:tcMar>
          </w:tcPr>
          <w:p>
            <w:pPr>
              <w:bidi w:val="false"/>
              <w:spacing w:after="0"/>
            </w:pPr>
            <w:r>
              <w:rPr>
                <w:b w:val="false"/>
                <w:sz w:val="18"/>
                <w:szCs w:val="18"/>
                <w:rtl w:val="false"/>
              </w:rPr>
              <w:t xml:space="preserve">Arabic must be used; where a foreign language is also used, the Arabic text prevails (Article 9).</w:t>
            </w:r>
            <w:r>
              <w:rPr>
                <w:b w:val="false"/>
                <w:sz w:val="18"/>
                <w:szCs w:val="18"/>
                <w:rtl w:val="false"/>
              </w:rPr>
              <w:t xml:space="preserve"> [1]</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Non-Saudi employees</w:t>
            </w:r>
          </w:p>
        </w:tc>
        <w:tc>
          <w:tcPr>
            <w:tcMar>
              <w:top w:type="dxa" w:w="80"/>
              <w:left w:type="dxa" w:w="100"/>
              <w:bottom w:type="dxa" w:w="80"/>
              <w:right w:type="dxa" w:w="100"/>
            </w:tcMar>
          </w:tcPr>
          <w:p>
            <w:pPr>
              <w:bidi w:val="false"/>
              <w:spacing w:after="0"/>
            </w:pPr>
            <w:r>
              <w:rPr>
                <w:b w:val="false"/>
                <w:sz w:val="18"/>
                <w:szCs w:val="18"/>
                <w:rtl w:val="false"/>
              </w:rPr>
              <w:t xml:space="preserve">Written and fixed-term; one year from the actual start if no term is stated (Article 37).</w:t>
            </w:r>
            <w:r>
              <w:rPr>
                <w:b w:val="false"/>
                <w:sz w:val="18"/>
                <w:szCs w:val="18"/>
                <w:rtl w:val="false"/>
              </w:rPr>
              <w:t xml:space="preserve"> [1]</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Probation</w:t>
            </w:r>
          </w:p>
        </w:tc>
        <w:tc>
          <w:tcPr>
            <w:tcMar>
              <w:top w:type="dxa" w:w="80"/>
              <w:left w:type="dxa" w:w="100"/>
              <w:bottom w:type="dxa" w:w="80"/>
              <w:right w:type="dxa" w:w="100"/>
            </w:tcMar>
          </w:tcPr>
          <w:p>
            <w:pPr>
              <w:bidi w:val="false"/>
              <w:spacing w:after="0"/>
            </w:pPr>
            <w:r>
              <w:rPr>
                <w:b w:val="false"/>
                <w:sz w:val="18"/>
                <w:szCs w:val="18"/>
                <w:rtl w:val="false"/>
              </w:rPr>
              <w:t xml:space="preserve">Stated expressly with a clear duration; total no more than 180 days.</w:t>
            </w:r>
            <w:r>
              <w:rPr>
                <w:b w:val="false"/>
                <w:sz w:val="18"/>
                <w:szCs w:val="18"/>
                <w:rtl w:val="false"/>
              </w:rPr>
              <w:t xml:space="preserve"> [1][4]</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Notice (indefinite, monthly wage)</w:t>
            </w:r>
          </w:p>
        </w:tc>
        <w:tc>
          <w:tcPr>
            <w:tcMar>
              <w:top w:type="dxa" w:w="80"/>
              <w:left w:type="dxa" w:w="100"/>
              <w:bottom w:type="dxa" w:w="80"/>
              <w:right w:type="dxa" w:w="100"/>
            </w:tcMar>
          </w:tcPr>
          <w:p>
            <w:pPr>
              <w:bidi w:val="false"/>
              <w:spacing w:after="0"/>
            </w:pPr>
            <w:r>
              <w:rPr>
                <w:b w:val="false"/>
                <w:sz w:val="18"/>
                <w:szCs w:val="18"/>
                <w:rtl w:val="false"/>
              </w:rPr>
              <w:t xml:space="preserve">At least 60 days from the employer and 30 days from the worker, in writing (Article 75). If the wage is not monthly, 30 days either party.</w:t>
            </w:r>
            <w:r>
              <w:rPr>
                <w:b w:val="false"/>
                <w:sz w:val="18"/>
                <w:szCs w:val="18"/>
                <w:rtl w:val="false"/>
              </w:rPr>
              <w:t xml:space="preserve"> [1][5]</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Skipped notice</w:t>
            </w:r>
          </w:p>
        </w:tc>
        <w:tc>
          <w:tcPr>
            <w:tcMar>
              <w:top w:type="dxa" w:w="80"/>
              <w:left w:type="dxa" w:w="100"/>
              <w:bottom w:type="dxa" w:w="80"/>
              <w:right w:type="dxa" w:w="100"/>
            </w:tcMar>
          </w:tcPr>
          <w:p>
            <w:pPr>
              <w:bidi w:val="false"/>
              <w:spacing w:after="0"/>
            </w:pPr>
            <w:r>
              <w:rPr>
                <w:b w:val="false"/>
                <w:sz w:val="18"/>
                <w:szCs w:val="18"/>
                <w:rtl w:val="false"/>
              </w:rPr>
              <w:t xml:space="preserve">Pay the worker’s wage for the notice period, unless the parties agree on more (Article 76).</w:t>
            </w:r>
            <w:r>
              <w:rPr>
                <w:b w:val="false"/>
                <w:sz w:val="18"/>
                <w:szCs w:val="18"/>
                <w:rtl w:val="false"/>
              </w:rPr>
              <w:t xml:space="preserve"> [1][5]</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End-of-service award</w:t>
            </w:r>
          </w:p>
        </w:tc>
        <w:tc>
          <w:tcPr>
            <w:tcMar>
              <w:top w:type="dxa" w:w="80"/>
              <w:left w:type="dxa" w:w="100"/>
              <w:bottom w:type="dxa" w:w="80"/>
              <w:right w:type="dxa" w:w="100"/>
            </w:tcMar>
          </w:tcPr>
          <w:p>
            <w:pPr>
              <w:bidi w:val="false"/>
              <w:spacing w:after="0"/>
            </w:pPr>
            <w:r>
              <w:rPr>
                <w:b w:val="false"/>
                <w:sz w:val="18"/>
                <w:szCs w:val="18"/>
                <w:rtl w:val="false"/>
              </w:rPr>
              <w:t xml:space="preserve">Half a month’s last wage for each of the first five years, then one month; fractions count; commissions may be excluded by agreement (Article 84). Resignation fractions exist in the Law.</w:t>
            </w:r>
            <w:r>
              <w:rPr>
                <w:b w:val="false"/>
                <w:sz w:val="18"/>
                <w:szCs w:val="18"/>
                <w:rtl w:val="false"/>
              </w:rPr>
              <w:t xml:space="preserve"> [1][5]</w:t>
            </w:r>
          </w:p>
        </w:tc>
      </w:tr>
    </w:tbl>
    <w:p>
      <w:pPr>
        <w:bidi w:val="false"/>
      </w:pPr>
    </w:p>
    <w:p>
      <w:pPr>
        <w:pStyle w:val="Heading1"/>
        <w:pageBreakBefore/>
        <w:bidi w:val="false"/>
      </w:pPr>
      <w:r>
        <w:rPr>
          <w:rtl w:val="false"/>
        </w:rPr>
        <w:t xml:space="preserve">UAE notes</w:t>
      </w:r>
    </w:p>
    <w:p>
      <w:pPr>
        <w:bidi w:val="false"/>
      </w:pPr>
      <w:r>
        <w:rPr>
          <w:rtl w:val="false"/>
        </w:rPr>
        <w:t xml:space="preserve">The UAE scale is not this template.</w:t>
      </w:r>
      <w:r>
        <w:rPr>
          <w:rtl w:val="false"/>
        </w:rPr>
        <w:t xml:space="preserve"> [8][9]</w:t>
      </w:r>
    </w:p>
    <w:tbl>
      <w:tblPr>
        <w:bidiVisual w:val="off"/>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753"/>
        <w:gridCol w:w="4753"/>
      </w:tblGrid>
      <w:tr>
        <w:trPr>
          <w:tblHeader/>
        </w:trPr>
        <w:tc>
          <w:tcPr>
            <w:shd w:fill="EDEDED" w:color="auto" w:val="clear"/>
            <w:tcMar>
              <w:top w:type="dxa" w:w="80"/>
              <w:left w:type="dxa" w:w="100"/>
              <w:bottom w:type="dxa" w:w="80"/>
              <w:right w:type="dxa" w:w="100"/>
            </w:tcMar>
          </w:tcPr>
          <w:p>
            <w:pPr>
              <w:bidi w:val="false"/>
              <w:spacing w:after="0"/>
            </w:pPr>
            <w:r>
              <w:rPr>
                <w:b/>
                <w:bCs/>
                <w:sz w:val="18"/>
                <w:szCs w:val="18"/>
                <w:rtl w:val="false"/>
              </w:rPr>
              <w:t xml:space="preserve">Item</w:t>
            </w:r>
          </w:p>
        </w:tc>
        <w:tc>
          <w:tcPr>
            <w:shd w:fill="EDEDED" w:color="auto" w:val="clear"/>
            <w:tcMar>
              <w:top w:type="dxa" w:w="80"/>
              <w:left w:type="dxa" w:w="100"/>
              <w:bottom w:type="dxa" w:w="80"/>
              <w:right w:type="dxa" w:w="100"/>
            </w:tcMar>
          </w:tcPr>
          <w:p>
            <w:pPr>
              <w:bidi w:val="false"/>
              <w:spacing w:after="0"/>
            </w:pPr>
            <w:r>
              <w:rPr>
                <w:b/>
                <w:bCs/>
                <w:sz w:val="18"/>
                <w:szCs w:val="18"/>
                <w:rtl w:val="false"/>
              </w:rPr>
              <w:t xml:space="preserve">What to do</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Official contract</w:t>
            </w:r>
          </w:p>
        </w:tc>
        <w:tc>
          <w:tcPr>
            <w:tcMar>
              <w:top w:type="dxa" w:w="80"/>
              <w:left w:type="dxa" w:w="100"/>
              <w:bottom w:type="dxa" w:w="80"/>
              <w:right w:type="dxa" w:w="100"/>
            </w:tcMar>
          </w:tcPr>
          <w:p>
            <w:pPr>
              <w:bidi w:val="false"/>
              <w:spacing w:after="0"/>
            </w:pPr>
            <w:r>
              <w:rPr>
                <w:b w:val="false"/>
                <w:sz w:val="18"/>
                <w:szCs w:val="18"/>
                <w:rtl w:val="false"/>
              </w:rPr>
              <w:t xml:space="preserve">Register with MOHRE. Use the </w:t>
            </w:r>
            <w:hyperlink w:history="1" r:id="rIdnv3s9puxyamq3lkf0win_">
              <w:r>
                <w:rPr>
                  <w:rStyle w:val="Hyperlink"/>
                  <w:b w:val="false"/>
                  <w:sz w:val="18"/>
                  <w:szCs w:val="18"/>
                  <w:rtl w:val="false"/>
                </w:rPr>
                <w:t xml:space="preserve">UAE employment contract</w:t>
              </w:r>
            </w:hyperlink>
            <w:r>
              <w:rPr>
                <w:b w:val="false"/>
                <w:sz w:val="18"/>
                <w:szCs w:val="18"/>
                <w:rtl w:val="false"/>
              </w:rPr>
              <w:t xml:space="preserve">.</w:t>
            </w:r>
            <w:r>
              <w:rPr>
                <w:b w:val="false"/>
                <w:sz w:val="18"/>
                <w:szCs w:val="18"/>
                <w:rtl w:val="false"/>
              </w:rPr>
              <w:t xml:space="preserve"> [9]</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Notice and gratuity</w:t>
            </w:r>
          </w:p>
        </w:tc>
        <w:tc>
          <w:tcPr>
            <w:tcMar>
              <w:top w:type="dxa" w:w="80"/>
              <w:left w:type="dxa" w:w="100"/>
              <w:bottom w:type="dxa" w:w="80"/>
              <w:right w:type="dxa" w:w="100"/>
            </w:tcMar>
          </w:tcPr>
          <w:p>
            <w:pPr>
              <w:bidi w:val="false"/>
              <w:spacing w:after="0"/>
            </w:pPr>
            <w:r>
              <w:rPr>
                <w:b w:val="false"/>
                <w:sz w:val="18"/>
                <w:szCs w:val="18"/>
                <w:rtl w:val="false"/>
              </w:rPr>
              <w:t xml:space="preserve">Article 43 and Article 51 of Federal Decree-Law No. 33 of 2021. Do not paste the Saudi figures into a UAE contract.</w:t>
            </w:r>
            <w:r>
              <w:rPr>
                <w:b w:val="false"/>
                <w:sz w:val="18"/>
                <w:szCs w:val="18"/>
                <w:rtl w:val="false"/>
              </w:rPr>
              <w:t xml:space="preserve"> [8]</w:t>
            </w:r>
          </w:p>
        </w:tc>
      </w:tr>
    </w:tbl>
    <w:p>
      <w:pPr>
        <w:bidi w:val="false"/>
      </w:pPr>
    </w:p>
    <w:p>
      <w:pPr>
        <w:pStyle w:val="Heading1"/>
        <w:pageBreakBefore/>
        <w:bidi w:val="false"/>
      </w:pPr>
      <w:r>
        <w:rPr>
          <w:rtl w:val="false"/>
        </w:rPr>
        <w:t xml:space="preserve">About this template</w:t>
      </w:r>
    </w:p>
    <w:p>
      <w:pPr>
        <w:bidi w:val="false"/>
      </w:pPr>
      <w:r>
        <w:rPr>
          <w:rtl w:val="false"/>
        </w:rPr>
        <w:t xml:space="preserve">This is a template, not legal advice. It does not create a lawyer–client relationship. Court rules, regulator guidance and laws change; check the official sources linked and have the contract reviewed by qualified counsel in each relevant jurisdiction. Last reviewed: 29 October 2026. Have it reviewed by a lawyer licensed in your jurisdiction before use. Where an official form or platform is mandatory, it prevails.</w:t>
      </w:r>
    </w:p>
    <w:p>
      <w:pPr>
        <w:bidi w:val="false"/>
      </w:pPr>
      <w:r>
        <w:rPr>
          <w:b/>
          <w:bCs/>
          <w:rtl w:val="false"/>
        </w:rPr>
        <w:t xml:space="preserve">How we prepared this template:</w:t>
      </w:r>
      <w:r>
        <w:rPr>
          <w:rtl w:val="false"/>
        </w:rPr>
        <w:t xml:space="preserve"> we drafted it from the official legislation and government platforms listed under Sources, and checked each legal statement against the official text on the review date. Where an official form or platform exists, we link to it and you should use it. Laws change; check the sources before use and have the final text reviewed by a licensed lawyer.</w:t>
      </w:r>
    </w:p>
    <w:p>
      <w:pPr>
        <w:bidi w:val="false"/>
      </w:pPr>
      <w:r>
        <w:rPr>
          <w:rtl w:val="false"/>
        </w:rPr>
        <w:t xml:space="preserve">The text of this page and the .docx downloads are licensed under </w:t>
      </w:r>
      <w:hyperlink w:history="1" r:id="rIdtdikkbh4hggymfraa0adb">
        <w:r>
          <w:rPr>
            <w:rStyle w:val="Hyperlink"/>
            <w:rtl w:val="false"/>
          </w:rPr>
          <w:t xml:space="preserve">Creative Commons Attribution 4.0 International (CC BY 4.0)</w:t>
        </w:r>
      </w:hyperlink>
      <w:r>
        <w:rPr>
          <w:rtl w:val="false"/>
        </w:rPr>
        <w:t xml:space="preserve">. The Qanu name and logo are not covered by the licence.</w:t>
      </w:r>
    </w:p>
    <w:p>
      <w:pPr>
        <w:bidi w:val="false"/>
      </w:pPr>
      <w:r>
        <w:rPr>
          <w:rtl w:val="false"/>
        </w:rPr>
        <w:t xml:space="preserve">Source: https://www.qanu.ai/en/templates/saudi-employment-contract · Last reviewed: 29 October 2026 · Not legal advice · CC BY 4.0</w:t>
      </w:r>
    </w:p>
    <w:p>
      <w:pPr>
        <w:pStyle w:val="Heading2"/>
        <w:bidi w:val="false"/>
      </w:pPr>
      <w:r>
        <w:rPr>
          <w:rtl w:val="false"/>
        </w:rPr>
        <w:t xml:space="preserve">Sources</w:t>
      </w:r>
    </w:p>
    <w:p>
      <w:pPr>
        <w:bidi w:val="false"/>
        <w:ind w:start="360" w:hanging="360"/>
      </w:pPr>
      <w:r>
        <w:rPr>
          <w:sz w:val="18"/>
          <w:szCs w:val="18"/>
          <w:rtl w:val="false"/>
        </w:rPr>
        <w:t xml:space="preserve">[1] HRSD, Labor Law (Royal Decree No. M/51 of 23/8/1426H), consolidated text with amendments up to Royal Decree No. M/44 of 8/2/1446H (PDF) </w:t>
      </w:r>
      <w:hyperlink w:history="1" r:id="rIdgicib5qsp9g1frufjqmou">
        <w:r>
          <w:rPr>
            <w:rStyle w:val="Hyperlink"/>
            <w:sz w:val="16"/>
            <w:szCs w:val="16"/>
          </w:rPr>
          <w:t xml:space="preserve">https://www.hrsd.gov.sa/sites/default/files/2025-11/labor-law.pdf</w:t>
        </w:r>
      </w:hyperlink>
    </w:p>
    <w:p>
      <w:pPr>
        <w:bidi w:val="false"/>
        <w:ind w:start="360" w:hanging="360"/>
      </w:pPr>
      <w:r>
        <w:rPr>
          <w:sz w:val="18"/>
          <w:szCs w:val="18"/>
          <w:rtl w:val="false"/>
        </w:rPr>
        <w:t xml:space="preserve">[2] Ministry of Human Resources and Social Development (HRSD), news release on documenting employment contracts through Qiwa </w:t>
      </w:r>
      <w:hyperlink w:history="1" r:id="rIdly5bmgkezqbwvki3mhql5">
        <w:r>
          <w:rPr>
            <w:rStyle w:val="Hyperlink"/>
            <w:sz w:val="16"/>
            <w:szCs w:val="16"/>
          </w:rPr>
          <w:t xml:space="preserve">https://www.hrsd.gov.sa/media-center/news/1171584</w:t>
        </w:r>
      </w:hyperlink>
    </w:p>
    <w:p>
      <w:pPr>
        <w:bidi w:val="false"/>
        <w:ind w:start="360" w:hanging="360"/>
      </w:pPr>
      <w:r>
        <w:rPr>
          <w:sz w:val="18"/>
          <w:szCs w:val="18"/>
          <w:rtl w:val="false"/>
        </w:rPr>
        <w:t xml:space="preserve">[3] Qiwa, Contract management service for business owners </w:t>
      </w:r>
      <w:hyperlink w:history="1" r:id="rIdauvo3vqwmo1ajr5lbwyzt">
        <w:r>
          <w:rPr>
            <w:rStyle w:val="Hyperlink"/>
            <w:sz w:val="16"/>
            <w:szCs w:val="16"/>
          </w:rPr>
          <w:t xml:space="preserve">https://qiwa.sa/ar/service-overview/business-owners/manage-current-employees/contract-management</w:t>
        </w:r>
      </w:hyperlink>
    </w:p>
    <w:p>
      <w:pPr>
        <w:bidi w:val="false"/>
        <w:ind w:start="360" w:hanging="360"/>
      </w:pPr>
      <w:r>
        <w:rPr>
          <w:sz w:val="18"/>
          <w:szCs w:val="18"/>
          <w:rtl w:val="false"/>
        </w:rPr>
        <w:t xml:space="preserve">[4] HRSD, Summary of the amendments to the Labor Law, August 2024 (PDF, Arabic) </w:t>
      </w:r>
      <w:hyperlink w:history="1" r:id="rIdbt_1sx029x9bla_rquj43">
        <w:r>
          <w:rPr>
            <w:rStyle w:val="Hyperlink"/>
            <w:sz w:val="16"/>
            <w:szCs w:val="16"/>
          </w:rPr>
          <w:t xml:space="preserve">https://www.hrsd.gov.sa/sites/default/files/2024-08/%D9%85%D9%84%D8%AE%D8%B5%20%D8%A7%D9%84%D8%AA%D8%B9%D8%AF%D9%8A%D9%84%D8%A7%D8%AA%20%D8%A7%D9%84%D8%AA%D9%8A%20%D8%AA%D9%85%D8%AA%20%D8%B9%D9%84%D9%89%20%D9%86%D8%B8%D8%A7%D9%85%20%D8%A7%D9%84%D8%B9%D9%85%D9%84.pdf</w:t>
        </w:r>
      </w:hyperlink>
    </w:p>
    <w:p>
      <w:pPr>
        <w:bidi w:val="false"/>
        <w:ind w:start="360" w:hanging="360"/>
      </w:pPr>
      <w:r>
        <w:rPr>
          <w:sz w:val="18"/>
          <w:szCs w:val="18"/>
          <w:rtl w:val="false"/>
        </w:rPr>
        <w:t xml:space="preserve">[5] HRSD, Labor relations: consolidated Labor Law articles, including Articles 74, 75, 79 bis, 84 and 85 </w:t>
      </w:r>
      <w:hyperlink w:history="1" r:id="rIdod7ox0hmxqz4c_wua-0qc">
        <w:r>
          <w:rPr>
            <w:rStyle w:val="Hyperlink"/>
            <w:sz w:val="16"/>
            <w:szCs w:val="16"/>
          </w:rPr>
          <w:t xml:space="preserve">https://www.hrsd.gov.sa/%D8%B9%D9%84%D8%A7%D9%82%D8%A7%D8%AA-%D8%A7%D9%84%D8%B9%D9%85%D9%84</w:t>
        </w:r>
      </w:hyperlink>
    </w:p>
    <w:p>
      <w:pPr>
        <w:bidi w:val="false"/>
        <w:ind w:start="360" w:hanging="360"/>
      </w:pPr>
      <w:r>
        <w:rPr>
          <w:sz w:val="18"/>
          <w:szCs w:val="18"/>
          <w:rtl w:val="false"/>
        </w:rPr>
        <w:t xml:space="preserve">[6] Bureau of Experts, Labor Law (Royal Decree No. M/51 of 23/8/1426H), including the Royal Decree No. M/44 of 8/2/1446H note on the definition of resignation </w:t>
      </w:r>
      <w:hyperlink w:history="1" r:id="rIdcseedg42z6el-qxyyn3yj">
        <w:r>
          <w:rPr>
            <w:rStyle w:val="Hyperlink"/>
            <w:sz w:val="16"/>
            <w:szCs w:val="16"/>
          </w:rPr>
          <w:t xml:space="preserve">https://laws.boe.gov.sa/BoeLaws/Laws/LawDetails/08381293-6388-48e2-8ad2-a9a700f2aa94/1</w:t>
        </w:r>
      </w:hyperlink>
    </w:p>
    <w:p>
      <w:pPr>
        <w:bidi w:val="false"/>
        <w:ind w:start="360" w:hanging="360"/>
      </w:pPr>
      <w:r>
        <w:rPr>
          <w:sz w:val="18"/>
          <w:szCs w:val="18"/>
          <w:rtl w:val="false"/>
        </w:rPr>
        <w:t xml:space="preserve">[7] Umm Al-Qura, the amendments to the Labor Law, including the added definition of resignation and Article 79 bis (published 19/2/1446H) </w:t>
      </w:r>
      <w:hyperlink w:history="1" r:id="rIdkrtclsjlazfxuefqgevfo">
        <w:r>
          <w:rPr>
            <w:rStyle w:val="Hyperlink"/>
            <w:sz w:val="16"/>
            <w:szCs w:val="16"/>
          </w:rPr>
          <w:t xml:space="preserve">https://www.uqn.gov.sa/details?p=25379</w:t>
        </w:r>
      </w:hyperlink>
    </w:p>
    <w:p>
      <w:pPr>
        <w:bidi w:val="false"/>
        <w:ind w:start="360" w:hanging="360"/>
      </w:pPr>
      <w:r>
        <w:rPr>
          <w:sz w:val="18"/>
          <w:szCs w:val="18"/>
          <w:rtl w:val="false"/>
        </w:rPr>
        <w:t xml:space="preserve">[8] MOHRE, Federal Decree-Law No. 33 of 2021 regarding the regulation of employment relations, with its amendments (PDF) </w:t>
      </w:r>
      <w:hyperlink w:history="1" r:id="rIdulyls3udw_fbvd1xvj6vl">
        <w:r>
          <w:rPr>
            <w:rStyle w:val="Hyperlink"/>
            <w:sz w:val="16"/>
            <w:szCs w:val="16"/>
          </w:rPr>
          <w:t xml:space="preserve">https://www.mohre.gov.ae/assets/download/dcafb8f4/Federal%20Decree-Law%20No.%2033%20of%202021%20Regarding%20the%20Regulation%20of%20Employment%20Relationship%20and%20its%20amendments.pdf.aspx</w:t>
        </w:r>
      </w:hyperlink>
    </w:p>
    <w:p>
      <w:pPr>
        <w:bidi w:val="false"/>
        <w:ind w:start="360" w:hanging="360"/>
      </w:pPr>
      <w:r>
        <w:rPr>
          <w:sz w:val="18"/>
          <w:szCs w:val="18"/>
          <w:rtl w:val="false"/>
        </w:rPr>
        <w:t xml:space="preserve">[9] Ministry of Human Resources and Emiratisation (MOHRE), Issuance and renewal of employment contracts service </w:t>
      </w:r>
      <w:hyperlink w:history="1" r:id="rIdsjljzghx3katzabn6eyav">
        <w:r>
          <w:rPr>
            <w:rStyle w:val="Hyperlink"/>
            <w:sz w:val="16"/>
            <w:szCs w:val="16"/>
          </w:rPr>
          <w:t xml:space="preserve">https://www.mohre.gov.ae/en/services/issuancerenewal-of-employment-contracts-2022</w:t>
        </w:r>
      </w:hyperlink>
    </w:p>
    <w:sectPr>
      <w:headerReference w:type="default" r:id="rId7"/>
      <w:headerReference w:type="first" r:id="rId8"/>
      <w:footerReference w:type="default" r:id="rId9"/>
      <w:footerReference w:type="first" r:id="rId10"/>
      <w:pgSz w:w="11906" w:h="16838" w:orient="portrait"/>
      <w:pgMar w:top="1300" w:right="1200" w:bottom="1100" w:left="1200" w:header="500" w:footer="500" w:gutter="0"/>
      <w:pgNumType/>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initials="Q" w:author="Qanu" w:date="2026-10-29T00:00:00.000Z">
    <w:p>
      <w:pPr>
        <w:bidi w:val="false"/>
      </w:pPr>
      <w:r>
        <w:rPr>
          <w:b/>
          <w:bCs/>
          <w:rtl w:val="false"/>
        </w:rPr>
        <w:t xml:space="preserve">Drafting note</w:t>
      </w:r>
    </w:p>
    <w:p>
      <w:pPr>
        <w:bidi w:val="false"/>
      </w:pPr>
      <w:r>
        <w:rPr>
          <w:rtl w:val="false"/>
        </w:rPr>
        <w:t xml:space="preserve">Use the exact legal name from the </w:t>
      </w:r>
      <w:hyperlink w:history="1" r:id="rIdw_5ncxtzdq6qvzfwfmkzk">
        <w:r>
          <w:rPr>
            <w:rStyle w:val="Hyperlink"/>
            <w:rtl w:val="false"/>
          </w:rPr>
          <w:t xml:space="preserve">commercial registration</w:t>
        </w:r>
      </w:hyperlink>
      <w:r>
        <w:rPr>
          <w:rtl w:val="false"/>
        </w:rPr>
        <w:t xml:space="preserve">. The unified model must contain the employer's name and location and the worker's name, nationality, identity and address.</w:t>
      </w:r>
      <w:r>
        <w:rPr>
          <w:rtl w:val="false"/>
        </w:rPr>
        <w:t xml:space="preserve"> [1]</w:t>
      </w:r>
    </w:p>
  </w:comment>
  <w:comment w:id="1" w:initials="Q" w:author="Qanu" w:date="2026-10-29T00:00:00.000Z">
    <w:p>
      <w:pPr>
        <w:bidi w:val="false"/>
      </w:pPr>
      <w:r>
        <w:rPr>
          <w:b/>
          <w:bCs/>
          <w:rtl w:val="false"/>
        </w:rPr>
        <w:t xml:space="preserve">Drafting note</w:t>
      </w:r>
    </w:p>
    <w:p>
      <w:pPr>
        <w:bidi w:val="false"/>
      </w:pPr>
      <w:r>
        <w:rPr>
          <w:rtl w:val="false"/>
        </w:rPr>
        <w:t xml:space="preserve">The agreed wage, including benefits and allowances, is a mandatory field of the unified model. The end-of-service award is calculated on the last wage (Article 84). Commissions may be excluded by agreement.</w:t>
      </w:r>
      <w:r>
        <w:rPr>
          <w:rtl w:val="false"/>
        </w:rPr>
        <w:t xml:space="preserve"> [1]</w:t>
      </w:r>
    </w:p>
  </w:comment>
  <w:comment w:id="2" w:initials="Q" w:author="Qanu" w:date="2026-10-29T00:00:00.000Z">
    <w:p>
      <w:pPr>
        <w:bidi w:val="false"/>
      </w:pPr>
      <w:r>
        <w:rPr>
          <w:b/>
          <w:bCs/>
          <w:rtl w:val="false"/>
        </w:rPr>
        <w:t xml:space="preserve">Drafting note</w:t>
      </w:r>
    </w:p>
    <w:p>
      <w:pPr>
        <w:bidi w:val="false"/>
      </w:pPr>
      <w:r>
        <w:rPr>
          <w:rtl w:val="false"/>
        </w:rPr>
        <w:t xml:space="preserve">Each party's basic rights and obligations are a field of the unified model.</w:t>
      </w:r>
      <w:r>
        <w:rPr>
          <w:rtl w:val="false"/>
        </w:rPr>
        <w:t xml:space="preserve"> [1]</w:t>
      </w:r>
    </w:p>
  </w:comment>
  <w:comment w:id="3" w:initials="Q" w:author="Qanu" w:date="2026-10-29T00:00:00.000Z">
    <w:p>
      <w:pPr>
        <w:bidi w:val="false"/>
      </w:pPr>
      <w:r>
        <w:rPr>
          <w:b/>
          <w:bCs/>
          <w:rtl w:val="false"/>
        </w:rPr>
        <w:t xml:space="preserve">Drafting note</w:t>
      </w:r>
    </w:p>
    <w:p>
      <w:pPr>
        <w:bidi w:val="false"/>
      </w:pPr>
      <w:r>
        <w:rPr>
          <w:rtl w:val="false"/>
        </w:rPr>
        <w:t xml:space="preserve">See </w:t>
      </w:r>
      <w:hyperlink w:history="1" r:id="rIdqdyvqqxj4beoptfv0km5m">
        <w:r>
          <w:rPr>
            <w:rStyle w:val="Hyperlink"/>
            <w:rtl w:val="false"/>
          </w:rPr>
          <w:t xml:space="preserve">notice period</w:t>
        </w:r>
      </w:hyperlink>
      <w:r>
        <w:rPr>
          <w:rtl w:val="false"/>
        </w:rPr>
        <w:t xml:space="preserve"> and the </w:t>
      </w:r>
      <w:hyperlink w:history="1" r:id="rIdmhwmu370e97v6ak04n2q1">
        <w:r>
          <w:rPr>
            <w:rStyle w:val="Hyperlink"/>
            <w:rtl w:val="false"/>
          </w:rPr>
          <w:t xml:space="preserve">notice-period guide</w:t>
        </w:r>
      </w:hyperlink>
      <w:r>
        <w:rPr>
          <w:rtl w:val="false"/>
        </w:rPr>
        <w:t xml:space="preserve">. A written resignation of a fixed-term contract is a different route (Article 79 bis).</w:t>
      </w:r>
      <w:r>
        <w:rPr>
          <w:rtl w:val="false"/>
        </w:rPr>
        <w:t xml:space="preserve"> [1][7][6]</w:t>
      </w:r>
    </w:p>
  </w:comment>
  <w:comment w:id="4" w:initials="Q" w:author="Qanu" w:date="2026-10-29T00:00:00.000Z">
    <w:p>
      <w:pPr>
        <w:bidi w:val="false"/>
      </w:pPr>
      <w:r>
        <w:rPr>
          <w:b/>
          <w:bCs/>
          <w:rtl w:val="false"/>
        </w:rPr>
        <w:t xml:space="preserve">Drafting note</w:t>
      </w:r>
    </w:p>
    <w:p>
      <w:pPr>
        <w:bidi w:val="false"/>
      </w:pPr>
      <w:r>
        <w:rPr>
          <w:rtl w:val="false"/>
        </w:rPr>
        <w:t xml:space="preserve">Do not hard-code a different formula. See </w:t>
      </w:r>
      <w:hyperlink w:history="1" r:id="rIdys9f825gfv7ogfwe90av_">
        <w:r>
          <w:rPr>
            <w:rStyle w:val="Hyperlink"/>
            <w:rtl w:val="false"/>
          </w:rPr>
          <w:t xml:space="preserve">end-of-service gratuity</w:t>
        </w:r>
      </w:hyperlink>
      <w:r>
        <w:rPr>
          <w:rtl w:val="false"/>
        </w:rPr>
        <w:t xml:space="preserve"> and the </w:t>
      </w:r>
      <w:hyperlink w:history="1" r:id="rId_tse0p-yrbx9odomcsrbd">
        <w:r>
          <w:rPr>
            <w:rStyle w:val="Hyperlink"/>
            <w:rtl w:val="false"/>
          </w:rPr>
          <w:t xml:space="preserve">gratuity guide</w:t>
        </w:r>
      </w:hyperlink>
      <w:r>
        <w:rPr>
          <w:rtl w:val="false"/>
        </w:rPr>
        <w:t xml:space="preserve">. After the relationship ends, the release is the </w:t>
      </w:r>
      <w:hyperlink w:history="1" r:id="rIdbdw8fq6z2sbeizngwdkot">
        <w:r>
          <w:rPr>
            <w:rStyle w:val="Hyperlink"/>
            <w:rtl w:val="false"/>
          </w:rPr>
          <w:t xml:space="preserve">final settlement and release</w:t>
        </w:r>
      </w:hyperlink>
      <w:r>
        <w:rPr>
          <w:rtl w:val="false"/>
        </w:rPr>
        <w:t xml:space="preserve">.</w:t>
      </w:r>
    </w:p>
  </w:comment>
  <w:comment w:id="5" w:initials="Q" w:author="Qanu" w:date="2026-10-29T00:00:00.000Z">
    <w:p>
      <w:pPr>
        <w:bidi w:val="false"/>
      </w:pPr>
      <w:r>
        <w:rPr>
          <w:b/>
          <w:bCs/>
          <w:rtl w:val="false"/>
        </w:rPr>
        <w:t xml:space="preserve">Drafting note</w:t>
      </w:r>
    </w:p>
    <w:p>
      <w:pPr>
        <w:bidi w:val="false"/>
      </w:pPr>
      <w:r>
        <w:rPr>
          <w:rtl w:val="false"/>
        </w:rPr>
        <w:t xml:space="preserve">This is a starting point. Have it reviewed by a lawyer licensed in the relevant jurisdiction before you use it. A UAE hire uses the </w:t>
      </w:r>
      <w:hyperlink w:history="1" r:id="rIdaabzyoyph2whpzbbu3_7e">
        <w:r>
          <w:rPr>
            <w:rStyle w:val="Hyperlink"/>
            <w:rtl w:val="false"/>
          </w:rPr>
          <w:t xml:space="preserve">UAE employment contract</w:t>
        </w:r>
      </w:hyperlink>
      <w:r>
        <w:rPr>
          <w:rtl w:val="false"/>
        </w:rPr>
        <w:t xml:space="preserve">.</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val="false"/>
    </w:pPr>
    <w:r>
      <w:rPr>
        <w:color w:val="555555"/>
        <w:sz w:val="16"/>
        <w:szCs w:val="16"/>
        <w:rtl w:val="false"/>
      </w:rPr>
      <w:t xml:space="preserve">CC BY 4.0 · Page </w:t>
    </w:r>
    <w:r>
      <w:rPr>
        <w:color w:val="555555"/>
        <w:sz w:val="16"/>
        <w:szCs w:val="16"/>
        <w:rtl w:val="false"/>
      </w:rPr>
      <w:fldChar w:fldCharType="begin"/>
    </w:r>
    <w:r>
      <w:rPr>
        <w:color w:val="555555"/>
        <w:sz w:val="16"/>
        <w:szCs w:val="16"/>
        <w:rtl w:val="false"/>
      </w:rPr>
      <w:instrText xml:space="preserve">PAGE</w:instrText>
    </w:r>
    <w:r>
      <w:rPr>
        <w:color w:val="555555"/>
        <w:sz w:val="16"/>
        <w:szCs w:val="16"/>
        <w:rtl w:val="false"/>
      </w:rPr>
      <w:fldChar w:fldCharType="separate"/>
    </w:r>
    <w:r>
      <w:rPr>
        <w:color w:val="555555"/>
        <w:sz w:val="16"/>
        <w:szCs w:val="16"/>
        <w:rtl w:val="false"/>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val="false"/>
    </w:pPr>
    <w:r>
      <w:rPr>
        <w:color w:val="555555"/>
        <w:sz w:val="16"/>
        <w:szCs w:val="16"/>
        <w:rtl w:val="false"/>
      </w:rPr>
      <w:t xml:space="preserve">CC BY 4.0 · Page </w:t>
    </w:r>
    <w:r>
      <w:rPr>
        <w:color w:val="555555"/>
        <w:sz w:val="16"/>
        <w:szCs w:val="16"/>
        <w:rtl w:val="false"/>
      </w:rPr>
      <w:fldChar w:fldCharType="begin"/>
    </w:r>
    <w:r>
      <w:rPr>
        <w:color w:val="555555"/>
        <w:sz w:val="16"/>
        <w:szCs w:val="16"/>
        <w:rtl w:val="false"/>
      </w:rPr>
      <w:instrText xml:space="preserve">PAGE</w:instrText>
    </w:r>
    <w:r>
      <w:rPr>
        <w:color w:val="555555"/>
        <w:sz w:val="16"/>
        <w:szCs w:val="16"/>
        <w:rtl w:val="false"/>
      </w:rPr>
      <w:fldChar w:fldCharType="separate"/>
    </w:r>
    <w:r>
      <w:rPr>
        <w:color w:val="555555"/>
        <w:sz w:val="16"/>
        <w:szCs w:val="16"/>
        <w:rtl w:val="false"/>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pPr>
    <w:r>
      <w:rPr>
        <w:color w:val="555555"/>
        <w:sz w:val="16"/>
        <w:szCs w:val="16"/>
        <w:rtl w:val="false"/>
      </w:rPr>
      <w:t xml:space="preserve">Template – not legal advice – Qanu – last reviewed 29 October 2026 – https://www.qanu.ai/en/templates/saudi-employment-contract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BBBBB" w:sz="4" w:space="4"/>
      </w:pBdr>
      <w:bidi w:val="false"/>
    </w:pPr>
    <w:r>
      <w:rPr>
        <w:color w:val="555555"/>
        <w:sz w:val="16"/>
        <w:szCs w:val="16"/>
        <w:rtl w:val="false"/>
      </w:rPr>
      <w:t xml:space="preserve">Template – not legal advice – Qanu – last reviewed 29 October 2026 – https://www.qanu.ai/en/templates/saudi-employment-contract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start="360" w:hanging="260"/>
      </w:pPr>
    </w:lvl>
    <w:lvl w:ilvl="1" w:tentative="1">
      <w:start w:val="1"/>
      <w:numFmt w:val="bullet"/>
      <w:lvlText w:val="◦"/>
      <w:lvlJc w:val="left"/>
      <w:pPr>
        <w:ind w:start="900" w:hanging="2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IBM Plex Sans Arabic" w:eastAsia="Calibri" w:hAnsi="Calibri"/>
        <w:sz w:val="21"/>
        <w:szCs w:val="21"/>
        <w:lang w:val="en-GB" w:bidi="ar-SA"/>
      </w:rPr>
    </w:rPrDefault>
    <w:pPrDefault>
      <w:pPr>
        <w:spacing w:after="120" w:line="276" w:lineRule="auto"/>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spacing w:after="120" w:line="240" w:lineRule="auto"/>
    </w:pPr>
    <w:rPr>
      <w:rFonts w:ascii="Calibri" w:cs="IBM Plex Sans Arabic" w:eastAsia="Calibri" w:hAnsi="Calibri"/>
      <w:b/>
      <w:bCs/>
      <w:color w:val="111111"/>
      <w:sz w:val="36"/>
      <w:szCs w:val="36"/>
    </w:rPr>
  </w:style>
  <w:style w:type="paragraph" w:styleId="Heading1">
    <w:name w:val="Heading 1"/>
    <w:basedOn w:val="Normal"/>
    <w:next w:val="Normal"/>
    <w:qFormat/>
    <w:pPr>
      <w:keepNext/>
      <w:spacing w:after="120" w:before="320"/>
    </w:pPr>
    <w:rPr>
      <w:rFonts w:ascii="Calibri" w:cs="IBM Plex Sans Arabic" w:eastAsia="Calibri" w:hAnsi="Calibri"/>
      <w:b/>
      <w:bCs/>
      <w:color w:val="111111"/>
      <w:sz w:val="26"/>
      <w:szCs w:val="26"/>
    </w:rPr>
  </w:style>
  <w:style w:type="paragraph" w:styleId="Heading2">
    <w:name w:val="Heading 2"/>
    <w:basedOn w:val="Normal"/>
    <w:next w:val="Normal"/>
    <w:qFormat/>
    <w:pPr>
      <w:keepNext/>
      <w:spacing w:after="120" w:before="240"/>
    </w:pPr>
    <w:rPr>
      <w:rFonts w:ascii="Calibri" w:cs="IBM Plex Sans Arabic" w:eastAsia="Calibri" w:hAnsi="Calibri"/>
      <w:b/>
      <w:bCs/>
      <w:color w:val="111111"/>
      <w:sz w:val="22"/>
      <w:szCs w:val="2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1F4E9E"/>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Relationship Id="rIdw_5ncxtzdq6qvzfwfmkzk" Type="http://schemas.openxmlformats.org/officeDocument/2006/relationships/hyperlink" Target="https://www.qanu.ai/en/glossary/commercial-registration" TargetMode="External"/><Relationship Id="rIdqdyvqqxj4beoptfv0km5m" Type="http://schemas.openxmlformats.org/officeDocument/2006/relationships/hyperlink" Target="https://www.qanu.ai/en/glossary/notice-period" TargetMode="External"/><Relationship Id="rIdmhwmu370e97v6ak04n2q1" Type="http://schemas.openxmlformats.org/officeDocument/2006/relationships/hyperlink" Target="https://www.qanu.ai/en/guides/notice-period-gcc-employment" TargetMode="External"/><Relationship Id="rIdys9f825gfv7ogfwe90av_" Type="http://schemas.openxmlformats.org/officeDocument/2006/relationships/hyperlink" Target="https://www.qanu.ai/en/glossary/end-of-service-gratuity" TargetMode="External"/><Relationship Id="rId_tse0p-yrbx9odomcsrbd" Type="http://schemas.openxmlformats.org/officeDocument/2006/relationships/hyperlink" Target="https://www.qanu.ai/en/guides/end-of-service-gratuity-gcc" TargetMode="External"/><Relationship Id="rIdbdw8fq6z2sbeizngwdkot" Type="http://schemas.openxmlformats.org/officeDocument/2006/relationships/hyperlink" Target="https://www.qanu.ai/en/templates/final-settlement-release" TargetMode="External"/><Relationship Id="rIdaabzyoyph2whpzbbu3_7e" Type="http://schemas.openxmlformats.org/officeDocument/2006/relationships/hyperlink" Target="https://www.qanu.ai/en/templates/uae-employment-contract" TargetMode="External"/></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theme" Target="theme/theme1.xml"/><Relationship Id="rIdmhywnm_3jti1vtkitvvwr" Type="http://schemas.openxmlformats.org/officeDocument/2006/relationships/hyperlink" Target="https://qiwa.sa/ar/service-overview/business-owners/manage-current-employees/contract-management" TargetMode="External"/><Relationship Id="rIdaxpbeimifdzuvnbizsivs" Type="http://schemas.openxmlformats.org/officeDocument/2006/relationships/hyperlink" Target="https://www.hrsd.gov.sa/sites/default/files/2025-11/labor-law.pdf" TargetMode="External"/><Relationship Id="rId4gmzs1r2czc-et9oyotie" Type="http://schemas.openxmlformats.org/officeDocument/2006/relationships/hyperlink" Target="https://www.hrsd.gov.sa/media-center/news/1171584" TargetMode="External"/><Relationship Id="rIdvctvrov7cq-fqfbtlz0st" Type="http://schemas.openxmlformats.org/officeDocument/2006/relationships/hyperlink" Target="https://www.qanu.ai/en/templates/uae-employment-contract" TargetMode="External"/><Relationship Id="rIdnv3s9puxyamq3lkf0win_" Type="http://schemas.openxmlformats.org/officeDocument/2006/relationships/hyperlink" Target="https://www.qanu.ai/en/templates/uae-employment-contract" TargetMode="External"/><Relationship Id="rIdtdikkbh4hggymfraa0adb" Type="http://schemas.openxmlformats.org/officeDocument/2006/relationships/hyperlink" Target="https://creativecommons.org/licenses/by/4.0/deed.en" TargetMode="External"/><Relationship Id="rIdgicib5qsp9g1frufjqmou" Type="http://schemas.openxmlformats.org/officeDocument/2006/relationships/hyperlink" Target="https://www.hrsd.gov.sa/sites/default/files/2025-11/labor-law.pdf" TargetMode="External"/><Relationship Id="rIdly5bmgkezqbwvki3mhql5" Type="http://schemas.openxmlformats.org/officeDocument/2006/relationships/hyperlink" Target="https://www.hrsd.gov.sa/media-center/news/1171584" TargetMode="External"/><Relationship Id="rIdauvo3vqwmo1ajr5lbwyzt" Type="http://schemas.openxmlformats.org/officeDocument/2006/relationships/hyperlink" Target="https://qiwa.sa/ar/service-overview/business-owners/manage-current-employees/contract-management" TargetMode="External"/><Relationship Id="rIdbt_1sx029x9bla_rquj43" Type="http://schemas.openxmlformats.org/officeDocument/2006/relationships/hyperlink" Target="https://www.hrsd.gov.sa/sites/default/files/2024-08/%D9%85%D9%84%D8%AE%D8%B5%20%D8%A7%D9%84%D8%AA%D8%B9%D8%AF%D9%8A%D9%84%D8%A7%D8%AA%20%D8%A7%D9%84%D8%AA%D9%8A%20%D8%AA%D9%85%D8%AA%20%D8%B9%D9%84%D9%89%20%D9%86%D8%B8%D8%A7%D9%85%20%D8%A7%D9%84%D8%B9%D9%85%D9%84.pdf" TargetMode="External"/><Relationship Id="rIdod7ox0hmxqz4c_wua-0qc" Type="http://schemas.openxmlformats.org/officeDocument/2006/relationships/hyperlink" Target="https://www.hrsd.gov.sa/%D8%B9%D9%84%D8%A7%D9%82%D8%A7%D8%AA-%D8%A7%D9%84%D8%B9%D9%85%D9%84" TargetMode="External"/><Relationship Id="rIdcseedg42z6el-qxyyn3yj" Type="http://schemas.openxmlformats.org/officeDocument/2006/relationships/hyperlink" Target="https://laws.boe.gov.sa/BoeLaws/Laws/LawDetails/08381293-6388-48e2-8ad2-a9a700f2aa94/1" TargetMode="External"/><Relationship Id="rIdkrtclsjlazfxuefqgevfo" Type="http://schemas.openxmlformats.org/officeDocument/2006/relationships/hyperlink" Target="https://www.uqn.gov.sa/details?p=25379" TargetMode="External"/><Relationship Id="rIdulyls3udw_fbvd1xvj6vl" Type="http://schemas.openxmlformats.org/officeDocument/2006/relationships/hyperlink" Target="https://www.mohre.gov.ae/assets/download/dcafb8f4/Federal%20Decree-Law%20No.%2033%20of%202021%20Regarding%20the%20Regulation%20of%20Employment%20Relationship%20and%20its%20amendments.pdf.aspx" TargetMode="External"/><Relationship Id="rIdsjljzghx3katzabn6eyav" Type="http://schemas.openxmlformats.org/officeDocument/2006/relationships/hyperlink" Target="https://www.mohre.gov.ae/en/services/issuancerenewal-of-employment-contracts-2022" TargetMode="External"/><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Saudi employment contract (Word &amp; PDF)</dc:title>
  <dc:creator>Qanu</dc:creator>
  <cp:keywords>Saudi employment contract, عقد عمل سعودي, Qiwa, Labor Law</cp:keywords>
  <dc:description>This is a template, not legal advice. It does not create a lawyer–client relationship. Court rules, regulator guidance and laws change; check the official sources linked and have the contract reviewed by qualified counsel in each relevant jurisdiction. Last reviewed: 29 October 2026. Have it reviewed by a lawyer licensed in your jurisdiction before use. Where an official form or platform is mandatory, it prevails.</dc:description>
  <cp:lastModifiedBy>Qanu</cp:lastModifiedBy>
  <cp:revision>1</cp:revision>
  <dcterms:created xsi:type="dcterms:W3CDTF">2026-10-29T11:28:02.564Z</dcterms:created>
  <dcterms:modified xsi:type="dcterms:W3CDTF">2026-10-29T11:28:02.564Z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icense">
    <vt:lpwstr>https://creativecommons.org/licenses/by/4.0/</vt:lpwstr>
  </property>
  <property fmtid="{D5CDD505-2E9C-101B-9397-08002B2CF9AE}" pid="3" name="Source">
    <vt:lpwstr>https://www.qanu.ai/en/templates/saudi-employment-contract</vt:lpwstr>
  </property>
</Properties>
</file>