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هل هذا العقد مقاولة: قيد المراجعة.</w:t>
      </w:r>
      <w:r>
        <w:rPr>
          <w:rtl/>
        </w:rPr>
        <w:t xml:space="preserve"> في السعودية المقاولة أداء عمل مقابل أجر من غير أن يكون المقاول تابعاً لصاحب العمل، بموجب المادة الحادية والستين بعد الأربعمائة من نظام المعاملات المدنية.</w:t>
      </w:r>
      <w:r>
        <w:rPr>
          <w:rtl/>
        </w:rPr>
        <w:t xml:space="preserve"> [1]</w:t>
      </w:r>
      <w:r>
        <w:rPr>
          <w:rtl/>
        </w:rPr>
        <w:t xml:space="preserve"> وتكييف عقد الخدمة الذي بين أيديكم على أنه مقاولة أو عقد مسمى آخر قيد المراجعة مع محامٍ. والمقابل في قانون المعاملات المدنية الإماراتي النافذ قيد المراجعة، بلا رقم مادة.</w:t>
      </w:r>
      <w:r>
        <w:rPr>
          <w:rtl/>
        </w:rPr>
        <w:t xml:space="preserve"> [2]</w:t>
      </w:r>
      <w:r>
        <w:rPr>
          <w:rtl/>
        </w:rPr>
        <w:t xml:space="preserve"> وبيانات شخصية: الدليل، لا أرقام مواد في هذا الملف.</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jeq4tpkrkepq7qy8kwphn">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المعاملات المدنية الإماراتي: </w:t>
      </w:r>
      <w:hyperlink w:history="1" r:id="rIds976rl__zdq8zzuvyw5aa">
        <w:r>
          <w:rPr>
            <w:rStyle w:val="Hyperlink"/>
            <w:sz w:val="17"/>
            <w:szCs w:val="17"/>
          </w:rPr>
          <w:t xml:space="preserve">‪https://uaelegislation.gov.ae/en/legislations/4011‬</w:t>
        </w:r>
      </w:hyperlink>
    </w:p>
    <w:p>
      <w:pPr>
        <w:bidi/>
        <w:spacing w:after="240"/>
      </w:pPr>
    </w:p>
    <w:p>
      <w:pPr>
        <w:pStyle w:val="Title"/>
        <w:bidi/>
      </w:pPr>
      <w:r>
        <w:rPr>
          <w:rtl/>
        </w:rPr>
        <w:t xml:space="preserve">عقد تقديم خدمات</w:t>
      </w:r>
    </w:p>
    <w:p>
      <w:pPr>
        <w:bidi/>
        <w:spacing w:after="240"/>
      </w:pPr>
      <w:r>
        <w:rPr>
          <w:color w:val="444444"/>
          <w:rtl/>
        </w:rPr>
        <w:t xml:space="preserve">عقد تقديم خدمات في دول الخليج: استشارية أو تقنية أو تسويقية أو برمجية.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الصيغ الثلاث التي لا تنطبق. لا نسبة ضريبة ولا سقف مسؤولية ولا مهلة إنهاء في هذا النموذج، والخانات للطرفين. هذه نقطة انطلاق، وتُراجع من محامٍ مرخّص في الدولة المعنية قبل الاستعمال.</w:t>
      </w:r>
    </w:p>
    <w:p>
      <w:pPr>
        <w:pStyle w:val="Heading1"/>
        <w:bidi/>
      </w:pPr>
      <w:commentRangeStart w:id="0"/>
      <w:r>
        <w:rPr>
          <w:rtl/>
        </w:rPr>
        <w:t xml:space="preserve">البند (1): الطرفان والنطاق</w:t>
      </w:r>
      <w:commentRangeEnd w:id="0"/>
      <w:r>
        <w:rPr>
          <w:rtl/>
        </w:rPr>
        <w:commentReference w:id="0"/>
      </w:r>
    </w:p>
    <w:p>
      <w:pPr>
        <w:bidi/>
      </w:pPr>
      <w:r>
        <w:rPr>
          <w:rtl/>
        </w:rPr>
        <w:t xml:space="preserve">هذا العقد بين </w:t>
      </w:r>
      <w:r>
        <w:rPr>
          <w:highlight w:val="yellow"/>
          <w:rtl/>
        </w:rPr>
        <w:t xml:space="preserve">[</w:t>
      </w:r>
      <w:r>
        <w:rPr>
          <w:highlight w:val="yellow"/>
          <w:rtl/>
        </w:rPr>
        <w:t xml:space="preserve">مقدم الخدمة</w:t>
      </w:r>
      <w:r>
        <w:rPr>
          <w:highlight w:val="yellow"/>
          <w:rtl/>
        </w:rPr>
        <w:t xml:space="preserve">]</w:t>
      </w:r>
      <w:r>
        <w:rPr>
          <w:rtl/>
        </w:rPr>
        <w:t xml:space="preserve">، سجل تجاري أو هوية </w:t>
      </w:r>
      <w:r>
        <w:rPr>
          <w:highlight w:val="yellow"/>
          <w:rtl/>
        </w:rPr>
        <w:t xml:space="preserve">[</w:t>
      </w:r>
      <w:r>
        <w:rPr>
          <w:highlight w:val="yellow"/>
          <w:rtl/>
        </w:rPr>
        <w:t xml:space="preserve">●</w:t>
      </w:r>
      <w:r>
        <w:rPr>
          <w:highlight w:val="yellow"/>
          <w:rtl/>
        </w:rPr>
        <w:t xml:space="preserve">]</w:t>
      </w:r>
      <w:r>
        <w:rPr>
          <w:rtl/>
        </w:rPr>
        <w:t xml:space="preserve"> («مقدم الخدمة»)، و</w:t>
      </w:r>
      <w:r>
        <w:rPr>
          <w:highlight w:val="yellow"/>
          <w:rtl/>
        </w:rPr>
        <w:t xml:space="preserve">[</w:t>
      </w:r>
      <w:r>
        <w:rPr>
          <w:highlight w:val="yellow"/>
          <w:rtl/>
        </w:rPr>
        <w:t xml:space="preserve">العميل</w:t>
      </w:r>
      <w:r>
        <w:rPr>
          <w:highlight w:val="yellow"/>
          <w:rtl/>
        </w:rPr>
        <w:t xml:space="preserve">]</w:t>
      </w:r>
      <w:r>
        <w:rPr>
          <w:rtl/>
        </w:rPr>
        <w:t xml:space="preserve">، سجل تجاري أو هوية </w:t>
      </w:r>
      <w:r>
        <w:rPr>
          <w:highlight w:val="yellow"/>
          <w:rtl/>
        </w:rPr>
        <w:t xml:space="preserve">[</w:t>
      </w:r>
      <w:r>
        <w:rPr>
          <w:highlight w:val="yellow"/>
          <w:rtl/>
        </w:rPr>
        <w:t xml:space="preserve">●</w:t>
      </w:r>
      <w:r>
        <w:rPr>
          <w:highlight w:val="yellow"/>
          <w:rtl/>
        </w:rPr>
        <w:t xml:space="preserve">]</w:t>
      </w:r>
      <w:r>
        <w:rPr>
          <w:rtl/>
        </w:rPr>
        <w:t xml:space="preserve"> («العميل»)، لتقديم الخدمة الآتية، وصيغة واحدة فقط: </w:t>
      </w:r>
      <w:r>
        <w:rPr>
          <w:highlight w:val="yellow"/>
          <w:rtl/>
        </w:rPr>
        <w:t xml:space="preserve">[</w:t>
      </w:r>
      <w:r>
        <w:rPr>
          <w:highlight w:val="yellow"/>
          <w:rtl/>
        </w:rPr>
        <w:t xml:space="preserve">استشارية / تقنية / تسويقية / برمجية</w:t>
      </w:r>
      <w:r>
        <w:rPr>
          <w:highlight w:val="yellow"/>
          <w:rtl/>
        </w:rPr>
        <w:t xml:space="preserve">]</w:t>
      </w:r>
      <w:r>
        <w:rPr>
          <w:rtl/>
        </w:rPr>
        <w:t xml:space="preserve">، ووصفها </w:t>
      </w:r>
      <w:r>
        <w:rPr>
          <w:highlight w:val="yellow"/>
          <w:rtl/>
        </w:rPr>
        <w:t xml:space="preserve">[</w:t>
      </w:r>
      <w:r>
        <w:rPr>
          <w:highlight w:val="yellow"/>
          <w:rtl/>
        </w:rPr>
        <w:t xml:space="preserve">●</w:t>
      </w:r>
      <w:r>
        <w:rPr>
          <w:highlight w:val="yellow"/>
          <w:rtl/>
        </w:rPr>
        <w:t xml:space="preserve">]</w:t>
      </w:r>
      <w:r>
        <w:rPr>
          <w:rtl/>
        </w:rPr>
        <w:t xml:space="preserve">. والملحق يفصّل المخرجات ومعيار القبول.</w:t>
      </w:r>
    </w:p>
    <w:p>
      <w:pPr>
        <w:pStyle w:val="Heading1"/>
        <w:bidi/>
      </w:pPr>
      <w:commentRangeStart w:id="1"/>
      <w:r>
        <w:rPr>
          <w:rtl/>
        </w:rPr>
        <w:t xml:space="preserve">البند (2): مستوى الخدمة</w:t>
      </w:r>
      <w:commentRangeEnd w:id="1"/>
      <w:r>
        <w:rPr>
          <w:rtl/>
        </w:rPr>
        <w:commentReference w:id="1"/>
      </w:r>
    </w:p>
    <w:p>
      <w:pPr>
        <w:bidi/>
        <w:ind w:start="360" w:hanging="0"/>
      </w:pPr>
      <w:r>
        <w:rPr>
          <w:rtl/>
        </w:rPr>
        <w:t xml:space="preserve">(1) زمن الرد على الطلب: </w:t>
      </w:r>
      <w:r>
        <w:rPr>
          <w:highlight w:val="yellow"/>
          <w:rtl/>
        </w:rPr>
        <w:t xml:space="preserve">[</w:t>
      </w:r>
      <w:r>
        <w:rPr>
          <w:highlight w:val="yellow"/>
          <w:rtl/>
        </w:rPr>
        <w:t xml:space="preserve">●</w:t>
      </w:r>
      <w:r>
        <w:rPr>
          <w:highlight w:val="yellow"/>
          <w:rtl/>
        </w:rPr>
        <w:t xml:space="preserve">]</w:t>
      </w:r>
      <w:r>
        <w:rPr>
          <w:rtl/>
        </w:rPr>
        <w:t xml:space="preserve">. وزمن المعالجة: </w:t>
      </w:r>
      <w:r>
        <w:rPr>
          <w:highlight w:val="yellow"/>
          <w:rtl/>
        </w:rPr>
        <w:t xml:space="preserve">[</w:t>
      </w:r>
      <w:r>
        <w:rPr>
          <w:highlight w:val="yellow"/>
          <w:rtl/>
        </w:rPr>
        <w:t xml:space="preserve">●</w:t>
      </w:r>
      <w:r>
        <w:rPr>
          <w:highlight w:val="yellow"/>
          <w:rtl/>
        </w:rPr>
        <w:t xml:space="preserve">]</w:t>
      </w:r>
      <w:r>
        <w:rPr>
          <w:rtl/>
        </w:rPr>
        <w:t xml:space="preserve">. والتقرير الدوري: </w:t>
      </w:r>
      <w:r>
        <w:rPr>
          <w:highlight w:val="yellow"/>
          <w:rtl/>
        </w:rPr>
        <w:t xml:space="preserve">[</w:t>
      </w:r>
      <w:r>
        <w:rPr>
          <w:highlight w:val="yellow"/>
          <w:rtl/>
        </w:rPr>
        <w:t xml:space="preserve">●</w:t>
      </w:r>
      <w:r>
        <w:rPr>
          <w:highlight w:val="yellow"/>
          <w:rtl/>
        </w:rPr>
        <w:t xml:space="preserve">]</w:t>
      </w:r>
      <w:r>
        <w:rPr>
          <w:rtl/>
        </w:rPr>
        <w:t xml:space="preserve">.</w:t>
      </w:r>
    </w:p>
    <w:p>
      <w:pPr>
        <w:bidi/>
        <w:ind w:start="360" w:hanging="0"/>
      </w:pPr>
      <w:r>
        <w:rPr>
          <w:rtl/>
        </w:rPr>
        <w:t xml:space="preserve">(2) هذه الأزمان من اتفاق الطرفين. ولا زمن نظامي في هذه الصفحة.</w:t>
      </w:r>
    </w:p>
    <w:p>
      <w:pPr>
        <w:pStyle w:val="Heading1"/>
        <w:bidi/>
      </w:pPr>
      <w:commentRangeStart w:id="2"/>
      <w:r>
        <w:rPr>
          <w:rtl/>
        </w:rPr>
        <w:t xml:space="preserve">البند (3): المخرجات والقبول</w:t>
      </w:r>
      <w:commentRangeEnd w:id="2"/>
      <w:r>
        <w:rPr>
          <w:rtl/>
        </w:rPr>
        <w:commentReference w:id="2"/>
      </w:r>
    </w:p>
    <w:p>
      <w:pPr>
        <w:bidi/>
      </w:pPr>
      <w:r>
        <w:rPr>
          <w:rtl/>
        </w:rPr>
        <w:t xml:space="preserve">يسلّم مقدم الخدمة المخرجات في الملحق. وللعميل </w:t>
      </w:r>
      <w:r>
        <w:rPr>
          <w:highlight w:val="yellow"/>
          <w:rtl/>
        </w:rPr>
        <w:t xml:space="preserve">[</w:t>
      </w:r>
      <w:r>
        <w:rPr>
          <w:highlight w:val="yellow"/>
          <w:rtl/>
        </w:rPr>
        <w:t xml:space="preserve">●</w:t>
      </w:r>
      <w:r>
        <w:rPr>
          <w:highlight w:val="yellow"/>
          <w:rtl/>
        </w:rPr>
        <w:t xml:space="preserve">]</w:t>
      </w:r>
      <w:r>
        <w:rPr>
          <w:rtl/>
        </w:rPr>
        <w:t xml:space="preserve"> لمراجعتها. ويُعدّ المخرج مقبولاً إذا </w:t>
      </w:r>
      <w:r>
        <w:rPr>
          <w:highlight w:val="yellow"/>
          <w:rtl/>
        </w:rPr>
        <w:t xml:space="preserve">[</w:t>
      </w:r>
      <w:r>
        <w:rPr>
          <w:highlight w:val="yellow"/>
          <w:rtl/>
        </w:rPr>
        <w:t xml:space="preserve">أُبلغ القبول / انقضت مهلة المراجعة بلا اعتراض مكتوب</w:t>
      </w:r>
      <w:r>
        <w:rPr>
          <w:highlight w:val="yellow"/>
          <w:rtl/>
        </w:rPr>
        <w:t xml:space="preserve">]</w:t>
      </w:r>
      <w:r>
        <w:rPr>
          <w:rtl/>
        </w:rPr>
        <w:t xml:space="preserve">. والاعتراض يعيّن العيب. ولا مهلة نظامية للقبول في هذه الصفحة.</w:t>
      </w:r>
    </w:p>
    <w:p>
      <w:pPr>
        <w:pStyle w:val="Heading1"/>
        <w:bidi/>
      </w:pPr>
      <w:commentRangeStart w:id="3"/>
      <w:r>
        <w:rPr>
          <w:rtl/>
        </w:rPr>
        <w:t xml:space="preserve">البند (4): الأتعاب والفوترة</w:t>
      </w:r>
      <w:commentRangeEnd w:id="3"/>
      <w:r>
        <w:rPr>
          <w:rtl/>
        </w:rPr>
        <w:commentReference w:id="3"/>
      </w:r>
    </w:p>
    <w:p>
      <w:pPr>
        <w:bidi/>
        <w:ind w:start="360" w:hanging="0"/>
      </w:pPr>
      <w:r>
        <w:rPr>
          <w:rtl/>
        </w:rPr>
        <w:t xml:space="preserve">(1) المقابل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العملة</w:t>
      </w:r>
      <w:r>
        <w:rPr>
          <w:highlight w:val="yellow"/>
          <w:rtl/>
        </w:rPr>
        <w:t xml:space="preserve">]</w:t>
      </w:r>
      <w:r>
        <w:rPr>
          <w:rtl/>
        </w:rPr>
        <w:t xml:space="preserve">، ويُفوتر كل </w:t>
      </w:r>
      <w:r>
        <w:rPr>
          <w:highlight w:val="yellow"/>
          <w:rtl/>
        </w:rPr>
        <w:t xml:space="preserve">[</w:t>
      </w:r>
      <w:r>
        <w:rPr>
          <w:highlight w:val="yellow"/>
          <w:rtl/>
        </w:rPr>
        <w:t xml:space="preserve">●</w:t>
      </w:r>
      <w:r>
        <w:rPr>
          <w:highlight w:val="yellow"/>
          <w:rtl/>
        </w:rPr>
        <w:t xml:space="preserve">]</w:t>
      </w:r>
      <w:r>
        <w:rPr>
          <w:rtl/>
        </w:rPr>
        <w:t xml:space="preserve">، ويُستحق خلال </w:t>
      </w:r>
      <w:r>
        <w:rPr>
          <w:highlight w:val="yellow"/>
          <w:rtl/>
        </w:rPr>
        <w:t xml:space="preserve">[</w:t>
      </w:r>
      <w:r>
        <w:rPr>
          <w:highlight w:val="yellow"/>
          <w:rtl/>
        </w:rPr>
        <w:t xml:space="preserve">●</w:t>
      </w:r>
      <w:r>
        <w:rPr>
          <w:highlight w:val="yellow"/>
          <w:rtl/>
        </w:rPr>
        <w:t xml:space="preserve">]</w:t>
      </w:r>
      <w:r>
        <w:rPr>
          <w:rtl/>
        </w:rPr>
        <w:t xml:space="preserve"> من الفاتورة.</w:t>
      </w:r>
    </w:p>
    <w:p>
      <w:pPr>
        <w:bidi/>
        <w:ind w:start="360" w:hanging="0"/>
      </w:pPr>
      <w:r>
        <w:rPr>
          <w:rtl/>
        </w:rPr>
        <w:t xml:space="preserve">(2) ضريبة القيمة المضافة: </w:t>
      </w:r>
      <w:r>
        <w:rPr>
          <w:highlight w:val="yellow"/>
          <w:rtl/>
        </w:rPr>
        <w:t xml:space="preserve">[</w:t>
      </w:r>
      <w:r>
        <w:rPr>
          <w:highlight w:val="yellow"/>
          <w:rtl/>
        </w:rPr>
        <w:t xml:space="preserve">تُطبق بالنسبة النافذة / معفاة / لا تنطبق</w:t>
      </w:r>
      <w:r>
        <w:rPr>
          <w:highlight w:val="yellow"/>
          <w:rtl/>
        </w:rPr>
        <w:t xml:space="preserve">]</w:t>
      </w:r>
      <w:r>
        <w:rPr>
          <w:rtl/>
        </w:rPr>
        <w:t xml:space="preserve">. ولا نسبة في هذا النموذج.</w:t>
      </w:r>
    </w:p>
    <w:p>
      <w:pPr>
        <w:pStyle w:val="Heading1"/>
        <w:bidi/>
      </w:pPr>
      <w:commentRangeStart w:id="4"/>
      <w:r>
        <w:rPr>
          <w:rtl/>
        </w:rPr>
        <w:t xml:space="preserve">البند (5): المدة والإنهاء</w:t>
      </w:r>
      <w:commentRangeEnd w:id="4"/>
      <w:r>
        <w:rPr>
          <w:rtl/>
        </w:rPr>
        <w:commentReference w:id="4"/>
      </w:r>
    </w:p>
    <w:p>
      <w:pPr>
        <w:bidi/>
      </w:pPr>
      <w:r>
        <w:rPr>
          <w:rtl/>
        </w:rPr>
        <w:t xml:space="preserve">يبدأ العقد في </w:t>
      </w:r>
      <w:r>
        <w:rPr>
          <w:highlight w:val="yellow"/>
          <w:rtl/>
        </w:rPr>
        <w:t xml:space="preserve">[</w:t>
      </w:r>
      <w:r>
        <w:rPr>
          <w:highlight w:val="yellow"/>
          <w:rtl/>
        </w:rPr>
        <w:t xml:space="preserve">التاريخ</w:t>
      </w:r>
      <w:r>
        <w:rPr>
          <w:highlight w:val="yellow"/>
          <w:rtl/>
        </w:rPr>
        <w:t xml:space="preserve">]</w:t>
      </w:r>
      <w:r>
        <w:rPr>
          <w:rtl/>
        </w:rPr>
        <w:t xml:space="preserve"> وينتهي في </w:t>
      </w:r>
      <w:r>
        <w:rPr>
          <w:highlight w:val="yellow"/>
          <w:rtl/>
        </w:rPr>
        <w:t xml:space="preserve">[</w:t>
      </w:r>
      <w:r>
        <w:rPr>
          <w:highlight w:val="yellow"/>
          <w:rtl/>
        </w:rPr>
        <w:t xml:space="preserve">التاريخ</w:t>
      </w:r>
      <w:r>
        <w:rPr>
          <w:highlight w:val="yellow"/>
          <w:rtl/>
        </w:rPr>
        <w:t xml:space="preserve">]</w:t>
      </w:r>
      <w:r>
        <w:rPr>
          <w:rtl/>
        </w:rPr>
        <w:t xml:space="preserve">، ما لم يُنهَ بإخطار مكتوب مدته </w:t>
      </w:r>
      <w:r>
        <w:rPr>
          <w:highlight w:val="yellow"/>
          <w:rtl/>
        </w:rPr>
        <w:t xml:space="preserve">[</w:t>
      </w:r>
      <w:r>
        <w:rPr>
          <w:highlight w:val="yellow"/>
          <w:rtl/>
        </w:rPr>
        <w:t xml:space="preserve">●</w:t>
      </w:r>
      <w:r>
        <w:rPr>
          <w:highlight w:val="yellow"/>
          <w:rtl/>
        </w:rPr>
        <w:t xml:space="preserve">]</w:t>
      </w:r>
      <w:r>
        <w:rPr>
          <w:rtl/>
        </w:rPr>
        <w:t xml:space="preserve">. ومهلة الإنهاء النظامية، إن كان العقد مقاولة، قيد المراجعة. ولا تُنقل مهلة إلى هذه الخانة من غير النص.</w:t>
      </w:r>
    </w:p>
    <w:p>
      <w:pPr>
        <w:pStyle w:val="Heading1"/>
        <w:bidi/>
      </w:pPr>
      <w:commentRangeStart w:id="5"/>
      <w:r>
        <w:rPr>
          <w:rtl/>
        </w:rPr>
        <w:t xml:space="preserve">البند (6): السرية</w:t>
      </w:r>
      <w:commentRangeEnd w:id="5"/>
      <w:r>
        <w:rPr>
          <w:rtl/>
        </w:rPr>
        <w:commentReference w:id="5"/>
      </w:r>
    </w:p>
    <w:p>
      <w:pPr>
        <w:bidi/>
      </w:pPr>
      <w:r>
        <w:rPr>
          <w:rtl/>
        </w:rPr>
        <w:t xml:space="preserve">ما يُعلَّم به أحد الطرفين لتنفيذ هذا العقد، ولم يكن عاماً، يبقى سراً لمدة </w:t>
      </w:r>
      <w:r>
        <w:rPr>
          <w:highlight w:val="yellow"/>
          <w:rtl/>
        </w:rPr>
        <w:t xml:space="preserve">[</w:t>
      </w:r>
      <w:r>
        <w:rPr>
          <w:highlight w:val="yellow"/>
          <w:rtl/>
        </w:rPr>
        <w:t xml:space="preserve">●</w:t>
      </w:r>
      <w:r>
        <w:rPr>
          <w:highlight w:val="yellow"/>
          <w:rtl/>
        </w:rPr>
        <w:t xml:space="preserve">]</w:t>
      </w:r>
      <w:r>
        <w:rPr>
          <w:rtl/>
        </w:rPr>
        <w:t xml:space="preserve"> بعد الانتهاء، ولا يُستخدم لغير التنفيذ. واتفاقية السرية المستقلة، إن أُريدت، هي </w:t>
      </w:r>
      <w:hyperlink w:history="1" r:id="rId26fnis6fndzpokdztghwr">
        <w:r>
          <w:rPr>
            <w:rStyle w:val="Hyperlink"/>
            <w:rtl/>
          </w:rPr>
          <w:t xml:space="preserve">نموذج اتفاقية عدم الإفصاح</w:t>
        </w:r>
      </w:hyperlink>
      <w:r>
        <w:rPr>
          <w:rtl/>
        </w:rPr>
        <w:t xml:space="preserve">، لا هذا البند.</w:t>
      </w:r>
    </w:p>
    <w:p>
      <w:pPr>
        <w:pStyle w:val="Heading1"/>
        <w:bidi/>
      </w:pPr>
      <w:commentRangeStart w:id="6"/>
      <w:r>
        <w:rPr>
          <w:rtl/>
        </w:rPr>
        <w:t xml:space="preserve">البند (7): ملكية المخرجات</w:t>
      </w:r>
      <w:commentRangeEnd w:id="6"/>
      <w:r>
        <w:rPr>
          <w:rtl/>
        </w:rPr>
        <w:commentReference w:id="6"/>
      </w:r>
    </w:p>
    <w:p>
      <w:pPr>
        <w:bidi/>
      </w:pPr>
      <w:r>
        <w:rPr>
          <w:rtl/>
        </w:rPr>
        <w:t xml:space="preserve">ملكية المخرجات: </w:t>
      </w:r>
      <w:r>
        <w:rPr>
          <w:highlight w:val="yellow"/>
          <w:rtl/>
        </w:rPr>
        <w:t xml:space="preserve">[</w:t>
      </w:r>
      <w:r>
        <w:rPr>
          <w:highlight w:val="yellow"/>
          <w:rtl/>
        </w:rPr>
        <w:t xml:space="preserve">تنتقل إلى العميل عند سداد المقابل / تبقى لمقدم الخدمة مع ترخيص للعميل بالاستعمال في </w:t>
      </w:r>
      <w:r>
        <w:rPr>
          <w:highlight w:val="yellow"/>
          <w:rtl/>
        </w:rPr>
        <w:t xml:space="preserve">[</w:t>
      </w:r>
      <w:r>
        <w:rPr>
          <w:highlight w:val="yellow"/>
          <w:rtl/>
        </w:rPr>
        <w:t xml:space="preserve">●</w:t>
      </w:r>
      <w:r>
        <w:rPr>
          <w:highlight w:val="yellow"/>
          <w:rtl/>
        </w:rPr>
        <w:t xml:space="preserve">]</w:t>
      </w:r>
      <w:r>
        <w:rPr>
          <w:highlight w:val="yellow"/>
          <w:rtl/>
        </w:rPr>
        <w:t xml:space="preserve">]</w:t>
      </w:r>
      <w:r>
        <w:rPr>
          <w:rtl/>
        </w:rPr>
        <w:t xml:space="preserve">. وهذا اختيار الطرفين. ولا حكم ملكية فكرية منقول في هذا النموذج.</w:t>
      </w:r>
    </w:p>
    <w:p>
      <w:pPr>
        <w:pStyle w:val="Heading1"/>
        <w:bidi/>
      </w:pPr>
      <w:commentRangeStart w:id="7"/>
      <w:r>
        <w:rPr>
          <w:rtl/>
        </w:rPr>
        <w:t xml:space="preserve">البند (8): البيانات الشخصية</w:t>
      </w:r>
      <w:commentRangeEnd w:id="7"/>
      <w:r>
        <w:rPr>
          <w:rtl/>
        </w:rPr>
        <w:commentReference w:id="7"/>
      </w:r>
    </w:p>
    <w:p>
      <w:pPr>
        <w:bidi/>
      </w:pPr>
      <w:r>
        <w:rPr>
          <w:rtl/>
        </w:rPr>
        <w:t xml:space="preserve">إذا عالج أحد الطرفين بيانات شخصية لتنفيذ العقد، اتبع النظام الذي ينطبق عليه. وتفصيل ذلك في </w:t>
      </w:r>
      <w:hyperlink w:history="1" r:id="rIdjr2mk1ussaso7cz4wkdkb">
        <w:r>
          <w:rPr>
            <w:rStyle w:val="Hyperlink"/>
            <w:rtl/>
          </w:rPr>
          <w:t xml:space="preserve">دليل حماية البيانات الشخصية في الخليج</w:t>
        </w:r>
      </w:hyperlink>
      <w:r>
        <w:rPr>
          <w:rtl/>
        </w:rPr>
        <w:t xml:space="preserve">. ولا يُعاد رقم مادة في هذا البند.</w:t>
      </w:r>
    </w:p>
    <w:p>
      <w:pPr>
        <w:pStyle w:val="Heading1"/>
        <w:bidi/>
      </w:pPr>
      <w:commentRangeStart w:id="8"/>
      <w:r>
        <w:rPr>
          <w:rtl/>
        </w:rPr>
        <w:t xml:space="preserve">البند (9): سقف المسؤولية</w:t>
      </w:r>
      <w:commentRangeEnd w:id="8"/>
      <w:r>
        <w:rPr>
          <w:rtl/>
        </w:rPr>
        <w:commentReference w:id="8"/>
      </w:r>
    </w:p>
    <w:p>
      <w:pPr>
        <w:bidi/>
      </w:pPr>
      <w:r>
        <w:rPr>
          <w:rtl/>
        </w:rPr>
        <w:t xml:space="preserve">مسؤولية كل طرف عن هذا العقد لا تجاوز </w:t>
      </w:r>
      <w:r>
        <w:rPr>
          <w:highlight w:val="yellow"/>
          <w:rtl/>
        </w:rPr>
        <w:t xml:space="preserve">[</w:t>
      </w:r>
      <w:r>
        <w:rPr>
          <w:highlight w:val="yellow"/>
          <w:rtl/>
        </w:rPr>
        <w:t xml:space="preserve">●</w:t>
      </w:r>
      <w:r>
        <w:rPr>
          <w:highlight w:val="yellow"/>
          <w:rtl/>
        </w:rPr>
        <w:t xml:space="preserve">]</w:t>
      </w:r>
      <w:r>
        <w:rPr>
          <w:rtl/>
        </w:rPr>
        <w:t xml:space="preserve">، ولا يشمل هذا السقف ما استثناه الطرفان كتابةً: </w:t>
      </w:r>
      <w:r>
        <w:rPr>
          <w:highlight w:val="yellow"/>
          <w:rtl/>
        </w:rPr>
        <w:t xml:space="preserve">[</w:t>
      </w:r>
      <w:r>
        <w:rPr>
          <w:highlight w:val="yellow"/>
          <w:rtl/>
        </w:rPr>
        <w:t xml:space="preserve">الغش أو الضرر المتعمد، أو «لا استثناء»</w:t>
      </w:r>
      <w:r>
        <w:rPr>
          <w:highlight w:val="yellow"/>
          <w:rtl/>
        </w:rPr>
        <w:t xml:space="preserve">]</w:t>
      </w:r>
      <w:r>
        <w:rPr>
          <w:rtl/>
        </w:rPr>
        <w:t xml:space="preserve">. ولا مضاعف نظامي في هذه الصفحة.</w:t>
      </w:r>
    </w:p>
    <w:p>
      <w:pPr>
        <w:pStyle w:val="Heading1"/>
        <w:bidi/>
      </w:pPr>
      <w:commentRangeStart w:id="9"/>
      <w:r>
        <w:rPr>
          <w:rtl/>
        </w:rPr>
        <w:t xml:space="preserve">البند (10): القانون والنزاع</w:t>
      </w:r>
      <w:commentRangeEnd w:id="9"/>
      <w:r>
        <w:rPr>
          <w:rtl/>
        </w:rPr>
        <w:commentReference w:id="9"/>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القانون:</w:t>
      </w:r>
      <w:r>
        <w:rPr>
          <w:rtl/>
        </w:rPr>
        <w:t xml:space="preserve"> </w:t>
      </w:r>
      <w:r>
        <w:rPr>
          <w:highlight w:val="yellow"/>
          <w:rtl/>
        </w:rPr>
        <w:t xml:space="preserve">[</w:t>
      </w:r>
      <w:r>
        <w:rPr>
          <w:highlight w:val="yellow"/>
          <w:rtl/>
        </w:rPr>
        <w:t xml:space="preserve">دولة الخليج التي يختارها الطرفان</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النزاع:</w:t>
      </w:r>
      <w:r>
        <w:rPr>
          <w:rtl/>
        </w:rPr>
        <w:t xml:space="preserve"> </w:t>
      </w:r>
      <w:r>
        <w:rPr>
          <w:highlight w:val="yellow"/>
          <w:rtl/>
        </w:rPr>
        <w:t xml:space="preserve">[</w:t>
      </w:r>
      <w:r>
        <w:rPr>
          <w:highlight w:val="yellow"/>
          <w:rtl/>
        </w:rPr>
        <w:t xml:space="preserve">محكمة ● / تحكيم ●</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التوقيع:</w:t>
      </w:r>
      <w:r>
        <w:rPr>
          <w:rtl/>
        </w:rPr>
        <w:t xml:space="preserve"> مقدم الخدمة </w:t>
      </w:r>
      <w:r>
        <w:rPr>
          <w:highlight w:val="yellow"/>
          <w:rtl/>
        </w:rPr>
        <w:t xml:space="preserve">[</w:t>
      </w:r>
      <w:r>
        <w:rPr>
          <w:highlight w:val="yellow"/>
          <w:rtl/>
        </w:rPr>
        <w:t xml:space="preserve">●</w:t>
      </w:r>
      <w:r>
        <w:rPr>
          <w:highlight w:val="yellow"/>
          <w:rtl/>
        </w:rPr>
        <w:t xml:space="preserve">]</w:t>
      </w:r>
      <w:r>
        <w:rPr>
          <w:rtl/>
        </w:rPr>
        <w:t xml:space="preserve"> · العميل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ما رُوجع هو تعريف المقاولة. وتكييف هذا العقد قيد المراجعة.</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التعريف</w:t>
            </w:r>
          </w:p>
        </w:tc>
        <w:tc>
          <w:tcPr>
            <w:tcMar>
              <w:top w:type="dxa" w:w="80"/>
              <w:left w:type="dxa" w:w="100"/>
              <w:bottom w:type="dxa" w:w="80"/>
              <w:right w:type="dxa" w:w="100"/>
            </w:tcMar>
          </w:tcPr>
          <w:p>
            <w:pPr>
              <w:bidi/>
              <w:spacing w:after="0"/>
            </w:pPr>
            <w:r>
              <w:rPr>
                <w:b w:val="false"/>
                <w:sz w:val="18"/>
                <w:szCs w:val="18"/>
                <w:rtl/>
              </w:rPr>
              <w:t xml:space="preserve">المقاولة أداء عمل مقابل أجر من غير أن يكون المقاول تابعاً لصاحب العمل (المادة الحادية والستون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هذا العقد</w:t>
            </w:r>
          </w:p>
        </w:tc>
        <w:tc>
          <w:tcPr>
            <w:tcMar>
              <w:top w:type="dxa" w:w="80"/>
              <w:left w:type="dxa" w:w="100"/>
              <w:bottom w:type="dxa" w:w="80"/>
              <w:right w:type="dxa" w:w="100"/>
            </w:tcMar>
          </w:tcPr>
          <w:p>
            <w:pPr>
              <w:bidi/>
              <w:spacing w:after="0"/>
            </w:pPr>
            <w:r>
              <w:rPr>
                <w:b w:val="false"/>
                <w:sz w:val="18"/>
                <w:szCs w:val="18"/>
                <w:rtl/>
              </w:rPr>
              <w:t xml:space="preserve">هل هو مقاولة أو عقد مسمى آخر: قيد المراجعة. ولا يُبنى الإنهاء ولا الضمان على التكييف قبل المراجعة.</w:t>
            </w:r>
          </w:p>
        </w:tc>
      </w:tr>
    </w:tbl>
    <w:p>
      <w:pPr>
        <w:bidi/>
      </w:pPr>
    </w:p>
    <w:p>
      <w:pPr>
        <w:pStyle w:val="Heading1"/>
        <w:pageBreakBefore/>
        <w:bidi/>
      </w:pPr>
      <w:r>
        <w:rPr>
          <w:rtl/>
        </w:rPr>
        <w:t xml:space="preserve">ملاحظات عن الإمارات العربية المتحدة</w:t>
      </w:r>
    </w:p>
    <w:p>
      <w:pPr>
        <w:bidi/>
      </w:pPr>
      <w:r>
        <w:rPr>
          <w:rtl/>
        </w:rPr>
        <w:t xml:space="preserve">قانون المعاملات المدنية النافذ هو المرسوم بقانون الاتحادي رقم (25) لسنة 2025، ويُعمل به من 1 يونيو 2026.</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المقابل للمقاولة</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w:t>
            </w:r>
          </w:p>
        </w:tc>
      </w:tr>
    </w:tbl>
    <w:p>
      <w:pPr>
        <w:bidi/>
      </w:pPr>
    </w:p>
    <w:p>
      <w:pPr>
        <w:pStyle w:val="Heading1"/>
        <w:bidi/>
      </w:pPr>
      <w:r>
        <w:rPr>
          <w:rtl/>
        </w:rPr>
        <w:t xml:space="preserve">البحرين وقطر والكويت وعُمان</w:t>
      </w:r>
    </w:p>
    <w:p>
      <w:pPr>
        <w:pStyle w:val="ListParagraph"/>
        <w:numPr>
          <w:ilvl w:val="0"/>
          <w:numId w:val="2"/>
        </w:numPr>
        <w:bidi/>
      </w:pPr>
      <w:r>
        <w:rPr>
          <w:rtl/>
        </w:rPr>
        <w:t xml:space="preserve">البحرين: قيد المراجعة. لا رقم مادة.</w:t>
      </w:r>
    </w:p>
    <w:p>
      <w:pPr>
        <w:pStyle w:val="ListParagraph"/>
        <w:numPr>
          <w:ilvl w:val="0"/>
          <w:numId w:val="2"/>
        </w:numPr>
        <w:bidi/>
      </w:pPr>
      <w:r>
        <w:rPr>
          <w:rtl/>
        </w:rPr>
        <w:t xml:space="preserve">قطر: قيد المراجعة. لا رقم مادة.</w:t>
      </w:r>
    </w:p>
    <w:p>
      <w:pPr>
        <w:pStyle w:val="ListParagraph"/>
        <w:numPr>
          <w:ilvl w:val="0"/>
          <w:numId w:val="2"/>
        </w:numPr>
        <w:bidi/>
      </w:pPr>
      <w:r>
        <w:rPr>
          <w:rtl/>
        </w:rPr>
        <w:t xml:space="preserve">الكويت: قيد المراجعة. لا رقم مادة.</w:t>
      </w:r>
    </w:p>
    <w:p>
      <w:pPr>
        <w:pStyle w:val="ListParagraph"/>
        <w:numPr>
          <w:ilvl w:val="0"/>
          <w:numId w:val="2"/>
        </w:numPr>
        <w:bidi/>
      </w:pPr>
      <w:r>
        <w:rPr>
          <w:rtl/>
        </w:rPr>
        <w:t xml:space="preserve">سلطنة عُمان: قيد المراجعة. لا رقم مادة.</w:t>
      </w:r>
    </w:p>
    <w:p>
      <w:pPr>
        <w:pStyle w:val="Heading1"/>
        <w:pageBreakBefore/>
        <w:bidi/>
      </w:pPr>
      <w:r>
        <w:rPr>
          <w:rtl/>
        </w:rPr>
        <w:t xml:space="preserve">الملحق: المخرجات ومعيار القبول</w:t>
      </w:r>
    </w:p>
    <w:p>
      <w:pPr>
        <w:bidi/>
      </w:pPr>
      <w:r>
        <w:rPr>
          <w:rtl/>
        </w:rPr>
        <w:t xml:space="preserve">صف واحد لكل مخرج. ومعيار القبول يكتبه الطرفان. ولا معيار في هذه الصفحة.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المخرج</w:t>
            </w:r>
          </w:p>
        </w:tc>
        <w:tc>
          <w:tcPr>
            <w:shd w:fill="EDEDED" w:color="auto" w:val="clear"/>
            <w:tcMar>
              <w:top w:type="dxa" w:w="80"/>
              <w:left w:type="dxa" w:w="100"/>
              <w:bottom w:type="dxa" w:w="80"/>
              <w:right w:type="dxa" w:w="100"/>
            </w:tcMar>
          </w:tcPr>
          <w:p>
            <w:pPr>
              <w:bidi/>
              <w:spacing w:after="0"/>
            </w:pPr>
            <w:r>
              <w:rPr>
                <w:b/>
                <w:bCs/>
                <w:sz w:val="18"/>
                <w:szCs w:val="18"/>
                <w:rtl/>
              </w:rPr>
              <w:t xml:space="preserve">معيار القبول</w:t>
            </w:r>
          </w:p>
        </w:tc>
        <w:tc>
          <w:tcPr>
            <w:shd w:fill="EDEDED" w:color="auto" w:val="clear"/>
            <w:tcMar>
              <w:top w:type="dxa" w:w="80"/>
              <w:left w:type="dxa" w:w="100"/>
              <w:bottom w:type="dxa" w:w="80"/>
              <w:right w:type="dxa" w:w="100"/>
            </w:tcMar>
          </w:tcPr>
          <w:p>
            <w:pPr>
              <w:bidi/>
              <w:spacing w:after="0"/>
            </w:pPr>
            <w:r>
              <w:rPr>
                <w:b/>
                <w:bCs/>
                <w:sz w:val="18"/>
                <w:szCs w:val="18"/>
                <w:rtl/>
              </w:rPr>
              <w:t xml:space="preserve">الموعد</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المخرج</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معيار القبول</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الموعد</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sf88uyp_gdahuxsxncou6">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‪https://www.qanu.ai/ar/نماذج/نموذج-عقد-تقديم-خدمات‬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المعاملات المدنية الصادر بالمرسوم الملكي رقم (م/191) وتاريخ 29/11/1444هـ </w:t>
      </w:r>
      <w:hyperlink w:history="1" r:id="rId1i_kjhlltkjasrcvlxeek">
        <w:r>
          <w:rPr>
            <w:rStyle w:val="Hyperlink"/>
            <w:sz w:val="16"/>
            <w:szCs w:val="16"/>
          </w:rPr>
          <w:t xml:space="preserve">https://laws.boe.gov.sa/BoeLaws/Laws/LawDetails/655fdb42-8c96-422b-b8c4-b04f0095c94c/1</w:t>
        </w:r>
      </w:hyperlink>
    </w:p>
    <w:p>
      <w:pPr>
        <w:bidi/>
        <w:ind w:start="360" w:hanging="360"/>
      </w:pPr>
      <w:r>
        <w:rPr>
          <w:sz w:val="18"/>
          <w:szCs w:val="18"/>
          <w:rtl/>
        </w:rPr>
        <w:t xml:space="preserve">[2] تشريعات الإمارات، مرسوم بقانون اتحادي رقم (25) لسنة 2025 (قانون المعاملات المدنية) </w:t>
      </w:r>
      <w:hyperlink w:history="1" r:id="rIdeybowdc61_aitadnrsdeb">
        <w:r>
          <w:rPr>
            <w:rStyle w:val="Hyperlink"/>
            <w:sz w:val="16"/>
            <w:szCs w:val="16"/>
          </w:rPr>
          <w:t xml:space="preserve">https://uaelegislation.gov.ae/en/legislations/4011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احذفوا ثلاث صيغ. والنطاق الضيق أقوى من «كل ما يطلبه العميل».</w:t>
      </w:r>
    </w:p>
  </w:comment>
  <w:comment w:id="1" w:initials="Q" w:author="Qanu" w:date="2026-10-22T00:00:00.000Z">
    <w:p>
      <w:pPr>
        <w:bidi/>
      </w:pPr>
      <w:r>
        <w:rPr>
          <w:b/>
          <w:bCs/>
          <w:rtl/>
        </w:rPr>
        <w:t xml:space="preserve">ملاحظة صياغة</w:t>
      </w:r>
    </w:p>
    <w:p>
      <w:pPr>
        <w:bidi/>
      </w:pPr>
      <w:r>
        <w:rPr>
          <w:rtl/>
        </w:rPr>
        <w:t xml:space="preserve">اكتبوا الزمن أو احذفوا السطر. ولا تنقلوا رقماً من عقد غيركم.</w:t>
      </w:r>
    </w:p>
  </w:comment>
  <w:comment w:id="2" w:initials="Q" w:author="Qanu" w:date="2026-10-22T00:00:00.000Z">
    <w:p>
      <w:pPr>
        <w:bidi/>
      </w:pPr>
      <w:r>
        <w:rPr>
          <w:b/>
          <w:bCs/>
          <w:rtl/>
        </w:rPr>
        <w:t xml:space="preserve">ملاحظة صياغة</w:t>
      </w:r>
    </w:p>
    <w:p>
      <w:pPr>
        <w:bidi/>
      </w:pPr>
      <w:r>
        <w:rPr>
          <w:rtl/>
        </w:rPr>
        <w:t xml:space="preserve">مهلة المراجعة خانة. وخلوّها لا يُستبدل برقم من هذه الصفحة.</w:t>
      </w:r>
    </w:p>
  </w:comment>
  <w:comment w:id="3" w:initials="Q" w:author="Qanu" w:date="2026-10-22T00:00:00.000Z">
    <w:p>
      <w:pPr>
        <w:bidi/>
      </w:pPr>
      <w:r>
        <w:rPr>
          <w:b/>
          <w:bCs/>
          <w:rtl/>
        </w:rPr>
        <w:t xml:space="preserve">ملاحظة صياغة</w:t>
      </w:r>
    </w:p>
    <w:p>
      <w:pPr>
        <w:bidi/>
      </w:pPr>
      <w:r>
        <w:rPr>
          <w:rtl/>
        </w:rPr>
        <w:t xml:space="preserve">العملة والمبلغ. وسطر الضريبة يُترك للطرفين ولنظام الضريبة في الدولة، ولا تسمّي الصفحة نسبة.</w:t>
      </w:r>
    </w:p>
  </w:comment>
  <w:comment w:id="4" w:initials="Q" w:author="Qanu" w:date="2026-10-22T00:00:00.000Z">
    <w:p>
      <w:pPr>
        <w:bidi/>
      </w:pPr>
      <w:r>
        <w:rPr>
          <w:b/>
          <w:bCs/>
          <w:rtl/>
        </w:rPr>
        <w:t xml:space="preserve">ملاحظة صياغة</w:t>
      </w:r>
    </w:p>
    <w:p>
      <w:pPr>
        <w:bidi/>
      </w:pPr>
      <w:r>
        <w:rPr>
          <w:rtl/>
        </w:rPr>
        <w:t xml:space="preserve">الإخطار خانة. وانظروا </w:t>
      </w:r>
      <w:hyperlink w:history="1" r:id="rIdqnqsecwyv2i8zzebkqacy">
        <w:r>
          <w:rPr>
            <w:rStyle w:val="Hyperlink"/>
            <w:rtl/>
          </w:rPr>
          <w:t xml:space="preserve">الشرط الجزائي</w:t>
        </w:r>
      </w:hyperlink>
      <w:r>
        <w:rPr>
          <w:rtl/>
        </w:rPr>
        <w:t xml:space="preserve"> إن أضفتم تعويضاً محدداً، وهو ليس في هذا البند.</w:t>
      </w:r>
    </w:p>
  </w:comment>
  <w:comment w:id="5" w:initials="Q" w:author="Qanu" w:date="2026-10-22T00:00:00.000Z">
    <w:p>
      <w:pPr>
        <w:bidi/>
      </w:pPr>
      <w:r>
        <w:rPr>
          <w:b/>
          <w:bCs/>
          <w:rtl/>
        </w:rPr>
        <w:t xml:space="preserve">ملاحظة صياغة</w:t>
      </w:r>
    </w:p>
    <w:p>
      <w:pPr>
        <w:bidi/>
      </w:pPr>
      <w:r>
        <w:rPr>
          <w:rtl/>
        </w:rPr>
        <w:t xml:space="preserve">مدة السرية خانة. وهذا البند لا يغني عن اتفاقية مستقلة إذا طلبها الطرفان.</w:t>
      </w:r>
    </w:p>
  </w:comment>
  <w:comment w:id="6" w:initials="Q" w:author="Qanu" w:date="2026-10-22T00:00:00.000Z">
    <w:p>
      <w:pPr>
        <w:bidi/>
      </w:pPr>
      <w:r>
        <w:rPr>
          <w:b/>
          <w:bCs/>
          <w:rtl/>
        </w:rPr>
        <w:t xml:space="preserve">ملاحظة صياغة</w:t>
      </w:r>
    </w:p>
    <w:p>
      <w:pPr>
        <w:bidi/>
      </w:pPr>
      <w:r>
        <w:rPr>
          <w:rtl/>
        </w:rPr>
        <w:t xml:space="preserve">خيار واحد. وما سبق العقد من أدوات مقدم الخدمة يُستثنى كتابةً إن أُريد: </w:t>
      </w:r>
      <w:r>
        <w:rPr>
          <w:highlight w:val="yellow"/>
          <w:rtl/>
        </w:rPr>
        <w:t xml:space="preserve">[</w:t>
      </w:r>
      <w:r>
        <w:rPr>
          <w:highlight w:val="yellow"/>
          <w:rtl/>
        </w:rPr>
        <w:t xml:space="preserve">●</w:t>
      </w:r>
      <w:r>
        <w:rPr>
          <w:highlight w:val="yellow"/>
          <w:rtl/>
        </w:rPr>
        <w:t xml:space="preserve">]</w:t>
      </w:r>
      <w:r>
        <w:rPr>
          <w:rtl/>
        </w:rPr>
        <w:t xml:space="preserve">.</w:t>
      </w:r>
    </w:p>
  </w:comment>
  <w:comment w:id="7" w:initials="Q" w:author="Qanu" w:date="2026-10-22T00:00:00.000Z">
    <w:p>
      <w:pPr>
        <w:bidi/>
      </w:pPr>
      <w:r>
        <w:rPr>
          <w:b/>
          <w:bCs/>
          <w:rtl/>
        </w:rPr>
        <w:t xml:space="preserve">ملاحظة صياغة</w:t>
      </w:r>
    </w:p>
    <w:p>
      <w:pPr>
        <w:bidi/>
      </w:pPr>
      <w:r>
        <w:rPr>
          <w:rtl/>
        </w:rPr>
        <w:t xml:space="preserve">إن لم تُعالج بيانات، احذفوا البند. وإن عُولجت، فالدليل لا هذه الصفحة.</w:t>
      </w:r>
    </w:p>
  </w:comment>
  <w:comment w:id="8" w:initials="Q" w:author="Qanu" w:date="2026-10-22T00:00:00.000Z">
    <w:p>
      <w:pPr>
        <w:bidi/>
      </w:pPr>
      <w:r>
        <w:rPr>
          <w:b/>
          <w:bCs/>
          <w:rtl/>
        </w:rPr>
        <w:t xml:space="preserve">ملاحظة صياغة</w:t>
      </w:r>
    </w:p>
    <w:p>
      <w:pPr>
        <w:bidi/>
      </w:pPr>
      <w:r>
        <w:rPr>
          <w:rtl/>
        </w:rPr>
        <w:t xml:space="preserve">السقف مبلغ أو عبارة يكتبها الطرفان. والصفحة لا تقترح مضاعف أتعاب.</w:t>
      </w:r>
    </w:p>
  </w:comment>
  <w:comment w:id="9" w:initials="Q" w:author="Qanu" w:date="2026-10-22T00:00:00.000Z">
    <w:p>
      <w:pPr>
        <w:bidi/>
      </w:pPr>
      <w:r>
        <w:rPr>
          <w:b/>
          <w:bCs/>
          <w:rtl/>
        </w:rPr>
        <w:t xml:space="preserve">ملاحظة صياغة</w:t>
      </w:r>
    </w:p>
    <w:p>
      <w:pPr>
        <w:bidi/>
      </w:pPr>
      <w:r>
        <w:rPr>
          <w:rtl/>
        </w:rPr>
        <w:t xml:space="preserve">لا تفرض الصفحة محفلاً. ومحكمة بلا صلة بالعقد قيد مراجعة مع محامٍ، لا حكم في هذا الملف.</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70C0F454-579F-E405-96AE-2331017CEF63}"/>
    <w:embedBold r:id="rId2" w:fontKey="{472441A4-2D0F-DA47-DF8B-2111DDD042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‪https://www.qanu.ai/ar/نماذج/نموذج-عقد-تقديم-خدمات‬</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‪https://www.qanu.ai/ar/نماذج/نموذج-عقد-تقديم-خدمات‬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qnqsecwyv2i8zzebkqacy" Type="http://schemas.openxmlformats.org/officeDocument/2006/relationships/hyperlink" Target="https://www.qanu.ai/ar/%D9%85%D8%B3%D8%B1%D8%AF-%D9%82%D8%A7%D9%86%D9%88%D9%86%D9%8A/%D8%B4%D8%B1%D8%B7-%D8%AC%D8%B2%D8%A7%D8%A6%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jeq4tpkrkepq7qy8kwphn" Type="http://schemas.openxmlformats.org/officeDocument/2006/relationships/hyperlink" Target="https://laws.boe.gov.sa/BoeLaws/Laws/LawDetails/655fdb42-8c96-422b-b8c4-b04f0095c94c/1" TargetMode="External"/><Relationship Id="rIds976rl__zdq8zzuvyw5aa" Type="http://schemas.openxmlformats.org/officeDocument/2006/relationships/hyperlink" Target="https://uaelegislation.gov.ae/en/legislations/4011" TargetMode="External"/><Relationship Id="rId26fnis6fndzpokdztghwr" Type="http://schemas.openxmlformats.org/officeDocument/2006/relationships/hyperlink" Target="https://www.qanu.ai/ar/%D9%86%D9%85%D8%A7%D8%B0%D8%AC/%D9%86%D9%85%D9%88%D8%B0%D8%AC-%D8%A7%D8%AA%D9%81%D8%A7%D9%82%D9%8A%D8%A9-%D8%B9%D8%AF%D9%85-%D8%A5%D9%81%D8%B5%D8%A7%D8%AD" TargetMode="External"/><Relationship Id="rIdjr2mk1ussaso7cz4wkdkb" Type="http://schemas.openxmlformats.org/officeDocument/2006/relationships/hyperlink" Target="https://www.qanu.ai/ar/%D8%A3%D8%AF%D9%84%D8%A9/%D8%AD%D9%85%D8%A7%D9%8A%D8%A9-%D8%A7%D9%84%D8%A8%D9%8A%D8%A7%D9%86%D8%A7%D8%AA-%D8%A7%D9%84%D8%B4%D8%AE%D8%B5%D9%8A%D8%A9-%D8%A7%D9%84%D8%AE%D9%84%D9%8A%D8%AC" TargetMode="External"/><Relationship Id="rIdsf88uyp_gdahuxsxncou6" Type="http://schemas.openxmlformats.org/officeDocument/2006/relationships/hyperlink" Target="https://creativecommons.org/licenses/by/4.0/deed.ar" TargetMode="External"/><Relationship Id="rId1i_kjhlltkjasrcvlxeek" Type="http://schemas.openxmlformats.org/officeDocument/2006/relationships/hyperlink" Target="https://laws.boe.gov.sa/BoeLaws/Laws/LawDetails/655fdb42-8c96-422b-b8c4-b04f0095c94c/1" TargetMode="External"/><Relationship Id="rIdeybowdc61_aitadnrsdeb" Type="http://schemas.openxmlformats.org/officeDocument/2006/relationships/hyperlink" Target="https://uaelegislation.gov.ae/en/legislations/401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تقديم خدمات</dc:title>
  <dc:creator>Qanu</dc:creator>
  <cp:keywords>عقد تقديم خدمات, مقاولة, خدمات استشارية,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2026-10-22T19:44:50.872Z</dcterms:created>
  <dcterms:modified xsi:type="dcterms:W3CDTF">2026-10-22T19:44:50.872Z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https://www.qanu.ai/ar/نماذج/نموذج-عقد-تقديم-خدمات</vt:lpwstr>
  </property>
</Properties>
</file>