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Whether this contract is muqawala is under review.</w:t>
      </w:r>
      <w:r>
        <w:rPr>
          <w:rtl w:val="false"/>
        </w:rPr>
        <w:t xml:space="preserve"> In Saudi Arabia muqawala is performing work for pay without the contractor being the employer’s subordinate. That is Article 461 of the Civil Transactions Law.</w:t>
      </w:r>
      <w:r>
        <w:rPr>
          <w:rtl w:val="false"/>
        </w:rPr>
        <w:t xml:space="preserve"> [1]</w:t>
      </w:r>
      <w:r>
        <w:rPr>
          <w:rtl w:val="false"/>
        </w:rPr>
        <w:t xml:space="preserve"> Whether the service contract in front of you is muqawala or another nominate contract is under review with a lawyer. The equivalent in the UAE Civil Transactions Law now in force is under review. No article number.</w:t>
      </w:r>
      <w:r>
        <w:rPr>
          <w:rtl w:val="false"/>
        </w:rPr>
        <w:t xml:space="preserve"> [2]</w:t>
      </w:r>
      <w:r>
        <w:rPr>
          <w:rtl w:val="false"/>
        </w:rPr>
        <w:t xml:space="preserve"> Personal data: the guide, not article numbers in this file.</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Civil Transactions Law: </w:t>
      </w:r>
      <w:hyperlink w:history="1" r:id="rIdccocidobtoqms6a2wmqh8">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Civil Transactions Law: </w:t>
      </w:r>
      <w:hyperlink w:history="1" r:id="rIdw_hqorfuw4demcyjve7e6">
        <w:r>
          <w:rPr>
            <w:rStyle w:val="Hyperlink"/>
            <w:sz w:val="17"/>
            <w:szCs w:val="17"/>
          </w:rPr>
          <w:t xml:space="preserve">https://uaelegislation.gov.ae/en/legislations/4011</w:t>
        </w:r>
      </w:hyperlink>
    </w:p>
    <w:p>
      <w:pPr>
        <w:bidi w:val="false"/>
        <w:spacing w:after="240"/>
      </w:pPr>
    </w:p>
    <w:p>
      <w:pPr>
        <w:pStyle w:val="Title"/>
        <w:bidi w:val="false"/>
      </w:pPr>
      <w:r>
        <w:rPr>
          <w:rtl w:val="false"/>
        </w:rPr>
        <w:t xml:space="preserve">Service agreement</w:t>
      </w:r>
    </w:p>
    <w:p>
      <w:pPr>
        <w:bidi w:val="false"/>
        <w:spacing w:after="240"/>
      </w:pPr>
      <w:r>
        <w:rPr>
          <w:color w:val="444444"/>
          <w:rtl w:val="false"/>
        </w:rPr>
        <w:t xml:space="preserve">A service agreement in the GCC: consulting, technology, marketing or software. Replace every </w:t>
      </w:r>
      <w:r>
        <w:rPr>
          <w:color w:val="444444"/>
          <w:highlight w:val="yellow"/>
          <w:rtl w:val="false"/>
        </w:rPr>
        <w:t xml:space="preserve">[</w:t>
      </w:r>
      <w:r>
        <w:rPr>
          <w:color w:val="444444"/>
          <w:highlight w:val="yellow"/>
          <w:rtl w:val="false"/>
        </w:rPr>
        <w:t xml:space="preserve">phrase in brackets</w:t>
      </w:r>
      <w:r>
        <w:rPr>
          <w:color w:val="444444"/>
          <w:highlight w:val="yellow"/>
          <w:rtl w:val="false"/>
        </w:rPr>
        <w:t xml:space="preserve">]</w:t>
      </w:r>
      <w:r>
        <w:rPr>
          <w:color w:val="444444"/>
          <w:rtl w:val="false"/>
        </w:rPr>
        <w:t xml:space="preserve"> and delete the three variants that do not apply. This draft states no tax rate, no liability multiple and no notice period. The blanks are for the parties. This is a starting point. Have it reviewed by a lawyer licensed in the relevant jurisdiction before you use it.</w:t>
      </w:r>
    </w:p>
    <w:p>
      <w:pPr>
        <w:pStyle w:val="Heading1"/>
        <w:bidi w:val="false"/>
      </w:pPr>
      <w:commentRangeStart w:id="0"/>
      <w:r>
        <w:rPr>
          <w:rtl w:val="false"/>
        </w:rPr>
        <w:t xml:space="preserve">Clause 1. Parties and scope</w:t>
      </w:r>
      <w:commentRangeEnd w:id="0"/>
      <w:r>
        <w:rPr>
          <w:rtl w:val="false"/>
        </w:rPr>
        <w:commentReference w:id="0"/>
      </w:r>
    </w:p>
    <w:p>
      <w:pPr>
        <w:bidi w:val="false"/>
      </w:pPr>
      <w:r>
        <w:rPr>
          <w:rtl w:val="false"/>
        </w:rPr>
        <w:t xml:space="preserve">This agreement is between </w:t>
      </w:r>
      <w:r>
        <w:rPr>
          <w:highlight w:val="yellow"/>
          <w:rtl w:val="false"/>
        </w:rPr>
        <w:t xml:space="preserve">[</w:t>
      </w:r>
      <w:r>
        <w:rPr>
          <w:highlight w:val="yellow"/>
          <w:rtl w:val="false"/>
        </w:rPr>
        <w:t xml:space="preserve">service provider</w:t>
      </w:r>
      <w:r>
        <w:rPr>
          <w:highlight w:val="yellow"/>
          <w:rtl w:val="false"/>
        </w:rPr>
        <w:t xml:space="preserve">]</w:t>
      </w:r>
      <w:r>
        <w:rPr>
          <w:rtl w:val="false"/>
        </w:rPr>
        <w:t xml:space="preserve">, commercial registration or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“Provider”), and </w:t>
      </w:r>
      <w:r>
        <w:rPr>
          <w:highlight w:val="yellow"/>
          <w:rtl w:val="false"/>
        </w:rPr>
        <w:t xml:space="preserve">[</w:t>
      </w:r>
      <w:r>
        <w:rPr>
          <w:highlight w:val="yellow"/>
          <w:rtl w:val="false"/>
        </w:rPr>
        <w:t xml:space="preserve">client</w:t>
      </w:r>
      <w:r>
        <w:rPr>
          <w:highlight w:val="yellow"/>
          <w:rtl w:val="false"/>
        </w:rPr>
        <w:t xml:space="preserve">]</w:t>
      </w:r>
      <w:r>
        <w:rPr>
          <w:rtl w:val="false"/>
        </w:rPr>
        <w:t xml:space="preserve">, commercial registration or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“Client”), for one service only: </w:t>
      </w:r>
      <w:r>
        <w:rPr>
          <w:highlight w:val="yellow"/>
          <w:rtl w:val="false"/>
        </w:rPr>
        <w:t xml:space="preserve">[</w:t>
      </w:r>
      <w:r>
        <w:rPr>
          <w:highlight w:val="yellow"/>
          <w:rtl w:val="false"/>
        </w:rPr>
        <w:t xml:space="preserve">consulting / technology / marketing / software</w:t>
      </w:r>
      <w:r>
        <w:rPr>
          <w:highlight w:val="yellow"/>
          <w:rtl w:val="false"/>
        </w:rPr>
        <w:t xml:space="preserve">]</w:t>
      </w:r>
      <w:r>
        <w:rPr>
          <w:rtl w:val="false"/>
        </w:rPr>
        <w:t xml:space="preserve">, described as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annex sets out the deliverables and the acceptance test.</w:t>
      </w:r>
    </w:p>
    <w:p>
      <w:pPr>
        <w:pStyle w:val="Heading1"/>
        <w:bidi w:val="false"/>
      </w:pPr>
      <w:commentRangeStart w:id="1"/>
      <w:r>
        <w:rPr>
          <w:rtl w:val="false"/>
        </w:rPr>
        <w:t xml:space="preserve">Clause 2. Service level</w:t>
      </w:r>
      <w:commentRangeEnd w:id="1"/>
      <w:r>
        <w:rPr>
          <w:rtl w:val="false"/>
        </w:rPr>
        <w:commentReference w:id="1"/>
      </w:r>
    </w:p>
    <w:p>
      <w:pPr>
        <w:bidi w:val="false"/>
        <w:ind w:start="360" w:hanging="0"/>
      </w:pPr>
      <w:r>
        <w:rPr>
          <w:rtl w:val="false"/>
        </w:rPr>
        <w:t xml:space="preserve">(a) Time to answer a request: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Time to perform it: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Periodic report: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bidi w:val="false"/>
        <w:ind w:start="360" w:hanging="0"/>
      </w:pPr>
      <w:r>
        <w:rPr>
          <w:rtl w:val="false"/>
        </w:rPr>
        <w:t xml:space="preserve">(b) These times are what the parties agree. This page states no statutory time.</w:t>
      </w:r>
    </w:p>
    <w:p>
      <w:pPr>
        <w:pStyle w:val="Heading1"/>
        <w:bidi w:val="false"/>
      </w:pPr>
      <w:commentRangeStart w:id="2"/>
      <w:r>
        <w:rPr>
          <w:rtl w:val="false"/>
        </w:rPr>
        <w:t xml:space="preserve">Clause 3. Deliverables and acceptance</w:t>
      </w:r>
      <w:commentRangeEnd w:id="2"/>
      <w:r>
        <w:rPr>
          <w:rtl w:val="false"/>
        </w:rPr>
        <w:commentReference w:id="2"/>
      </w:r>
    </w:p>
    <w:p>
      <w:pPr>
        <w:bidi w:val="false"/>
      </w:pPr>
      <w:r>
        <w:rPr>
          <w:rtl w:val="false"/>
        </w:rPr>
        <w:t xml:space="preserve">The Provider delivers the items in the annex. The Client has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to review them. A deliverable is accepted if </w:t>
      </w:r>
      <w:r>
        <w:rPr>
          <w:highlight w:val="yellow"/>
          <w:rtl w:val="false"/>
        </w:rPr>
        <w:t xml:space="preserve">[</w:t>
      </w:r>
      <w:r>
        <w:rPr>
          <w:highlight w:val="yellow"/>
          <w:rtl w:val="false"/>
        </w:rPr>
        <w:t xml:space="preserve">acceptance is notified / the review period ends with no written objection</w:t>
      </w:r>
      <w:r>
        <w:rPr>
          <w:highlight w:val="yellow"/>
          <w:rtl w:val="false"/>
        </w:rPr>
        <w:t xml:space="preserve">]</w:t>
      </w:r>
      <w:r>
        <w:rPr>
          <w:rtl w:val="false"/>
        </w:rPr>
        <w:t xml:space="preserve">. An objection names the defect. This page states no statutory acceptance period.</w:t>
      </w:r>
    </w:p>
    <w:p>
      <w:pPr>
        <w:pStyle w:val="Heading1"/>
        <w:bidi w:val="false"/>
      </w:pPr>
      <w:commentRangeStart w:id="3"/>
      <w:r>
        <w:rPr>
          <w:rtl w:val="false"/>
        </w:rPr>
        <w:t xml:space="preserve">Clause 4. Fees and invoicing</w:t>
      </w:r>
      <w:commentRangeEnd w:id="3"/>
      <w:r>
        <w:rPr>
          <w:rtl w:val="false"/>
        </w:rPr>
        <w:commentReference w:id="3"/>
      </w:r>
    </w:p>
    <w:p>
      <w:pPr>
        <w:bidi w:val="false"/>
        <w:ind w:start="360" w:hanging="0"/>
      </w:pPr>
      <w:r>
        <w:rPr>
          <w:rtl w:val="false"/>
        </w:rPr>
        <w:t xml:space="preserve">(a) The fee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currency</w:t>
      </w:r>
      <w:r>
        <w:rPr>
          <w:highlight w:val="yellow"/>
          <w:rtl w:val="false"/>
        </w:rPr>
        <w:t xml:space="preserve">]</w:t>
      </w:r>
      <w:r>
        <w:rPr>
          <w:rtl w:val="false"/>
        </w:rPr>
        <w:t xml:space="preserve">, invoiced every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and due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of the invoice.</w:t>
      </w:r>
    </w:p>
    <w:p>
      <w:pPr>
        <w:bidi w:val="false"/>
        <w:ind w:start="360" w:hanging="0"/>
      </w:pPr>
      <w:r>
        <w:rPr>
          <w:rtl w:val="false"/>
        </w:rPr>
        <w:t xml:space="preserve">(b) VAT: </w:t>
      </w:r>
      <w:r>
        <w:rPr>
          <w:highlight w:val="yellow"/>
          <w:rtl w:val="false"/>
        </w:rPr>
        <w:t xml:space="preserve">[</w:t>
      </w:r>
      <w:r>
        <w:rPr>
          <w:highlight w:val="yellow"/>
          <w:rtl w:val="false"/>
        </w:rPr>
        <w:t xml:space="preserve">applies at the rate in force / exempt / not applicable</w:t>
      </w:r>
      <w:r>
        <w:rPr>
          <w:highlight w:val="yellow"/>
          <w:rtl w:val="false"/>
        </w:rPr>
        <w:t xml:space="preserve">]</w:t>
      </w:r>
      <w:r>
        <w:rPr>
          <w:rtl w:val="false"/>
        </w:rPr>
        <w:t xml:space="preserve">. This draft states no rate.</w:t>
      </w:r>
    </w:p>
    <w:p>
      <w:pPr>
        <w:pStyle w:val="Heading1"/>
        <w:bidi w:val="false"/>
      </w:pPr>
      <w:commentRangeStart w:id="4"/>
      <w:r>
        <w:rPr>
          <w:rtl w:val="false"/>
        </w:rPr>
        <w:t xml:space="preserve">Clause 5. Term and termination</w:t>
      </w:r>
      <w:commentRangeEnd w:id="4"/>
      <w:r>
        <w:rPr>
          <w:rtl w:val="false"/>
        </w:rPr>
        <w:commentReference w:id="4"/>
      </w:r>
    </w:p>
    <w:p>
      <w:pPr>
        <w:bidi w:val="false"/>
      </w:pPr>
      <w:r>
        <w:rPr>
          <w:rtl w:val="false"/>
        </w:rPr>
        <w:t xml:space="preserve">The agreement starts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and ends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unless ended by written notice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statutory notice, if the contract is muqawala, is under review. Do not copy a period into this blank from anywhere but the text.</w:t>
      </w:r>
    </w:p>
    <w:p>
      <w:pPr>
        <w:pStyle w:val="Heading1"/>
        <w:bidi w:val="false"/>
      </w:pPr>
      <w:commentRangeStart w:id="5"/>
      <w:r>
        <w:rPr>
          <w:rtl w:val="false"/>
        </w:rPr>
        <w:t xml:space="preserve">Clause 6. Confidentiality</w:t>
      </w:r>
      <w:commentRangeEnd w:id="5"/>
      <w:r>
        <w:rPr>
          <w:rtl w:val="false"/>
        </w:rPr>
        <w:commentReference w:id="5"/>
      </w:r>
    </w:p>
    <w:p>
      <w:pPr>
        <w:bidi w:val="false"/>
      </w:pPr>
      <w:r>
        <w:rPr>
          <w:rtl w:val="false"/>
        </w:rPr>
        <w:t xml:space="preserve">What one party learns in performing this agreement, and what is not public, stays confidential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after it ends, and is not used for anything else. A standalone confidentiality contract, if the parties want one, is the </w:t>
      </w:r>
      <w:hyperlink w:history="1" r:id="rIdxxrbdvqctlc_6ghhhij3x">
        <w:r>
          <w:rPr>
            <w:rStyle w:val="Hyperlink"/>
            <w:rtl w:val="false"/>
          </w:rPr>
          <w:t xml:space="preserve">non-disclosure agreement</w:t>
        </w:r>
      </w:hyperlink>
      <w:r>
        <w:rPr>
          <w:rtl w:val="false"/>
        </w:rPr>
        <w:t xml:space="preserve">, not this clause.</w:t>
      </w:r>
    </w:p>
    <w:p>
      <w:pPr>
        <w:pStyle w:val="Heading1"/>
        <w:bidi w:val="false"/>
      </w:pPr>
      <w:commentRangeStart w:id="6"/>
      <w:r>
        <w:rPr>
          <w:rtl w:val="false"/>
        </w:rPr>
        <w:t xml:space="preserve">Clause 7. Ownership of the output</w:t>
      </w:r>
      <w:commentRangeEnd w:id="6"/>
      <w:r>
        <w:rPr>
          <w:rtl w:val="false"/>
        </w:rPr>
        <w:commentReference w:id="6"/>
      </w:r>
    </w:p>
    <w:p>
      <w:pPr>
        <w:bidi w:val="false"/>
      </w:pPr>
      <w:r>
        <w:rPr>
          <w:rtl w:val="false"/>
        </w:rPr>
        <w:t xml:space="preserve">Ownership of the output: </w:t>
      </w:r>
      <w:r>
        <w:rPr>
          <w:highlight w:val="yellow"/>
          <w:rtl w:val="false"/>
        </w:rPr>
        <w:t xml:space="preserve">[</w:t>
      </w:r>
      <w:r>
        <w:rPr>
          <w:highlight w:val="yellow"/>
          <w:rtl w:val="false"/>
        </w:rPr>
        <w:t xml:space="preserve">passes to the Client when the fee is paid / stays with the Provider, with a licence for the Client to use it for </w:t>
      </w:r>
      <w:r>
        <w:rPr>
          <w:highlight w:val="yellow"/>
          <w:rtl w:val="false"/>
        </w:rPr>
        <w:t xml:space="preserve">[</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That is the parties’ choice. This draft copies no intellectual-property rule.</w:t>
      </w:r>
    </w:p>
    <w:p>
      <w:pPr>
        <w:pStyle w:val="Heading1"/>
        <w:bidi w:val="false"/>
      </w:pPr>
      <w:commentRangeStart w:id="7"/>
      <w:r>
        <w:rPr>
          <w:rtl w:val="false"/>
        </w:rPr>
        <w:t xml:space="preserve">Clause 8. Personal data</w:t>
      </w:r>
      <w:commentRangeEnd w:id="7"/>
      <w:r>
        <w:rPr>
          <w:rtl w:val="false"/>
        </w:rPr>
        <w:commentReference w:id="7"/>
      </w:r>
    </w:p>
    <w:p>
      <w:pPr>
        <w:bidi w:val="false"/>
      </w:pPr>
      <w:r>
        <w:rPr>
          <w:rtl w:val="false"/>
        </w:rPr>
        <w:t xml:space="preserve">If either party processes personal data to perform the agreement, it follows the law that applies to it. The detail is in the </w:t>
      </w:r>
      <w:hyperlink w:history="1" r:id="rIdmoq0mtfjlatab3x4d5rdk">
        <w:r>
          <w:rPr>
            <w:rStyle w:val="Hyperlink"/>
            <w:rtl w:val="false"/>
          </w:rPr>
          <w:t xml:space="preserve">GCC data protection guide</w:t>
        </w:r>
      </w:hyperlink>
      <w:r>
        <w:rPr>
          <w:rtl w:val="false"/>
        </w:rPr>
        <w:t xml:space="preserve">. This clause states no article number.</w:t>
      </w:r>
    </w:p>
    <w:p>
      <w:pPr>
        <w:pStyle w:val="Heading1"/>
        <w:bidi w:val="false"/>
      </w:pPr>
      <w:commentRangeStart w:id="8"/>
      <w:r>
        <w:rPr>
          <w:rtl w:val="false"/>
        </w:rPr>
        <w:t xml:space="preserve">Clause 9. Liability cap</w:t>
      </w:r>
      <w:commentRangeEnd w:id="8"/>
      <w:r>
        <w:rPr>
          <w:rtl w:val="false"/>
        </w:rPr>
        <w:commentReference w:id="8"/>
      </w:r>
    </w:p>
    <w:p>
      <w:pPr>
        <w:bidi w:val="false"/>
      </w:pPr>
      <w:r>
        <w:rPr>
          <w:rtl w:val="false"/>
        </w:rPr>
        <w:t xml:space="preserve">Each party’s liability under this agreement does not exceed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cap does not cover what the parties exclude in writing: </w:t>
      </w:r>
      <w:r>
        <w:rPr>
          <w:highlight w:val="yellow"/>
          <w:rtl w:val="false"/>
        </w:rPr>
        <w:t xml:space="preserve">[</w:t>
      </w:r>
      <w:r>
        <w:rPr>
          <w:highlight w:val="yellow"/>
          <w:rtl w:val="false"/>
        </w:rPr>
        <w:t xml:space="preserve">fraud or wilful harm, or “no exclusion”</w:t>
      </w:r>
      <w:r>
        <w:rPr>
          <w:highlight w:val="yellow"/>
          <w:rtl w:val="false"/>
        </w:rPr>
        <w:t xml:space="preserve">]</w:t>
      </w:r>
      <w:r>
        <w:rPr>
          <w:rtl w:val="false"/>
        </w:rPr>
        <w:t xml:space="preserve">. This page states no statutory multiple.</w:t>
      </w:r>
    </w:p>
    <w:p>
      <w:pPr>
        <w:pStyle w:val="Heading1"/>
        <w:bidi w:val="false"/>
      </w:pPr>
      <w:commentRangeStart w:id="9"/>
      <w:r>
        <w:rPr>
          <w:rtl w:val="false"/>
        </w:rPr>
        <w:t xml:space="preserve">Clause 10. Law and disputes</w:t>
      </w:r>
      <w:commentRangeEnd w:id="9"/>
      <w:r>
        <w:rPr>
          <w:rtl w:val="false"/>
        </w:rPr>
        <w:commentReference w:id="9"/>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Law:</w:t>
      </w:r>
      <w:r>
        <w:rPr>
          <w:rtl w:val="false"/>
        </w:rPr>
        <w:t xml:space="preserve"> </w:t>
      </w:r>
      <w:r>
        <w:rPr>
          <w:highlight w:val="yellow"/>
          <w:rtl w:val="false"/>
        </w:rPr>
        <w:t xml:space="preserve">[</w:t>
      </w:r>
      <w:r>
        <w:rPr>
          <w:highlight w:val="yellow"/>
          <w:rtl w:val="false"/>
        </w:rPr>
        <w:t xml:space="preserve">the GCC country the parties choose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Disputes:</w:t>
      </w:r>
      <w:r>
        <w:rPr>
          <w:rtl w:val="false"/>
        </w:rPr>
        <w:t xml:space="preserve"> </w:t>
      </w:r>
      <w:r>
        <w:rPr>
          <w:highlight w:val="yellow"/>
          <w:rtl w:val="false"/>
        </w:rPr>
        <w:t xml:space="preserve">[</w:t>
      </w:r>
      <w:r>
        <w:rPr>
          <w:highlight w:val="yellow"/>
          <w:rtl w:val="false"/>
        </w:rPr>
        <w:t xml:space="preserve">the courts of ● / arbitration ●</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Signature:</w:t>
      </w:r>
      <w:r>
        <w:rPr>
          <w:rtl w:val="false"/>
        </w:rPr>
        <w:t xml:space="preserve"> Provider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Client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Notes on Saudi Arabia</w:t>
      </w:r>
    </w:p>
    <w:p>
      <w:pPr>
        <w:bidi w:val="false"/>
      </w:pPr>
      <w:r>
        <w:rPr>
          <w:rtl w:val="false"/>
        </w:rPr>
        <w:t xml:space="preserve">What was confirmed is the definition of muqawala. How this contract is characterised is under review.</w:t>
      </w:r>
      <w:r>
        <w:rPr>
          <w:rtl w:val="false"/>
        </w:rPr>
        <w:t xml:space="preserve"> [1]</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Definition</w:t>
            </w:r>
          </w:p>
        </w:tc>
        <w:tc>
          <w:tcPr>
            <w:tcMar>
              <w:top w:type="dxa" w:w="80"/>
              <w:left w:type="dxa" w:w="100"/>
              <w:bottom w:type="dxa" w:w="80"/>
              <w:right w:type="dxa" w:w="100"/>
            </w:tcMar>
          </w:tcPr>
          <w:p>
            <w:pPr>
              <w:bidi w:val="false"/>
              <w:spacing w:after="0"/>
            </w:pPr>
            <w:r>
              <w:rPr>
                <w:b w:val="false"/>
                <w:sz w:val="18"/>
                <w:szCs w:val="18"/>
                <w:rtl w:val="false"/>
              </w:rPr>
              <w:t xml:space="preserve">Muqawala is performing work for pay without the contractor being the employer’s subordinate (Article 461).</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This contract</w:t>
            </w:r>
          </w:p>
        </w:tc>
        <w:tc>
          <w:tcPr>
            <w:tcMar>
              <w:top w:type="dxa" w:w="80"/>
              <w:left w:type="dxa" w:w="100"/>
              <w:bottom w:type="dxa" w:w="80"/>
              <w:right w:type="dxa" w:w="100"/>
            </w:tcMar>
          </w:tcPr>
          <w:p>
            <w:pPr>
              <w:bidi w:val="false"/>
              <w:spacing w:after="0"/>
            </w:pPr>
            <w:r>
              <w:rPr>
                <w:b w:val="false"/>
                <w:sz w:val="18"/>
                <w:szCs w:val="18"/>
                <w:rtl w:val="false"/>
              </w:rPr>
              <w:t xml:space="preserve">Whether it is muqawala or another nominate contract: under review. Do not build termination or warranty on that characterisation before the review.</w:t>
            </w:r>
          </w:p>
        </w:tc>
      </w:tr>
    </w:tbl>
    <w:p>
      <w:pPr>
        <w:bidi w:val="false"/>
      </w:pPr>
    </w:p>
    <w:p>
      <w:pPr>
        <w:pStyle w:val="Heading1"/>
        <w:pageBreakBefore/>
        <w:bidi w:val="false"/>
      </w:pPr>
      <w:r>
        <w:rPr>
          <w:rtl w:val="false"/>
        </w:rPr>
        <w:t xml:space="preserve">Notes on the United Arab Emirates</w:t>
      </w:r>
    </w:p>
    <w:p>
      <w:pPr>
        <w:bidi w:val="false"/>
      </w:pPr>
      <w:r>
        <w:rPr>
          <w:rtl w:val="false"/>
        </w:rPr>
        <w:t xml:space="preserve">The Civil Transactions Law in force is Federal Decree-Law No. 25 of 2025. It has applied since 1 June 2026.</w:t>
      </w:r>
      <w:r>
        <w:rPr>
          <w:rtl w:val="false"/>
        </w:rPr>
        <w:t xml:space="preserve"> [2]</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Muqawala equivalent</w:t>
            </w:r>
          </w:p>
        </w:tc>
        <w:tc>
          <w:tcPr>
            <w:tcMar>
              <w:top w:type="dxa" w:w="80"/>
              <w:left w:type="dxa" w:w="100"/>
              <w:bottom w:type="dxa" w:w="80"/>
              <w:right w:type="dxa" w:w="100"/>
            </w:tcMar>
          </w:tcPr>
          <w:p>
            <w:pPr>
              <w:bidi w:val="false"/>
              <w:spacing w:after="0"/>
            </w:pPr>
            <w:r>
              <w:rPr>
                <w:b w:val="false"/>
                <w:sz w:val="18"/>
                <w:szCs w:val="18"/>
                <w:rtl w:val="false"/>
              </w:rPr>
              <w:t xml:space="preserve">Under review. No article number.</w:t>
            </w:r>
          </w:p>
        </w:tc>
      </w:tr>
    </w:tbl>
    <w:p>
      <w:pPr>
        <w:bidi w:val="false"/>
      </w:pPr>
    </w:p>
    <w:p>
      <w:pPr>
        <w:pStyle w:val="Heading1"/>
        <w:bidi w:val="false"/>
      </w:pPr>
      <w:r>
        <w:rPr>
          <w:rtl w:val="false"/>
        </w:rPr>
        <w:t xml:space="preserve">Bahrain, Qatar, Kuwait and Oman</w:t>
      </w:r>
    </w:p>
    <w:p>
      <w:pPr>
        <w:pStyle w:val="ListParagraph"/>
        <w:numPr>
          <w:ilvl w:val="0"/>
          <w:numId w:val="2"/>
        </w:numPr>
        <w:bidi w:val="false"/>
      </w:pPr>
      <w:r>
        <w:rPr>
          <w:rtl w:val="false"/>
        </w:rPr>
        <w:t xml:space="preserve">Bahrain: under review. No article number.</w:t>
      </w:r>
    </w:p>
    <w:p>
      <w:pPr>
        <w:pStyle w:val="ListParagraph"/>
        <w:numPr>
          <w:ilvl w:val="0"/>
          <w:numId w:val="2"/>
        </w:numPr>
        <w:bidi w:val="false"/>
      </w:pPr>
      <w:r>
        <w:rPr>
          <w:rtl w:val="false"/>
        </w:rPr>
        <w:t xml:space="preserve">Qatar: under review. No article number.</w:t>
      </w:r>
    </w:p>
    <w:p>
      <w:pPr>
        <w:pStyle w:val="ListParagraph"/>
        <w:numPr>
          <w:ilvl w:val="0"/>
          <w:numId w:val="2"/>
        </w:numPr>
        <w:bidi w:val="false"/>
      </w:pPr>
      <w:r>
        <w:rPr>
          <w:rtl w:val="false"/>
        </w:rPr>
        <w:t xml:space="preserve">Kuwait: under review. No article number.</w:t>
      </w:r>
    </w:p>
    <w:p>
      <w:pPr>
        <w:pStyle w:val="ListParagraph"/>
        <w:numPr>
          <w:ilvl w:val="0"/>
          <w:numId w:val="2"/>
        </w:numPr>
        <w:bidi w:val="false"/>
      </w:pPr>
      <w:r>
        <w:rPr>
          <w:rtl w:val="false"/>
        </w:rPr>
        <w:t xml:space="preserve">Oman: under review. No article number.</w:t>
      </w:r>
    </w:p>
    <w:p>
      <w:pPr>
        <w:pStyle w:val="Heading1"/>
        <w:pageBreakBefore/>
        <w:bidi w:val="false"/>
      </w:pPr>
      <w:r>
        <w:rPr>
          <w:rtl w:val="false"/>
        </w:rPr>
        <w:t xml:space="preserve">Annex. Deliverables and acceptance</w:t>
      </w:r>
    </w:p>
    <w:p>
      <w:pPr>
        <w:bidi w:val="false"/>
      </w:pPr>
      <w:r>
        <w:rPr>
          <w:rtl w:val="false"/>
        </w:rPr>
        <w:t xml:space="preserve">One row per deliverable. The parties write the acceptance test. This page states none.</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Deliverable</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Acceptance test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Date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deliverable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acceptance test</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date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zrmrpdh7mlykpawtjzm6f">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https://www.qanu.ai/en/templates/service-agreement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Bureau of Experts, Civil Transactions Law (Royal Decree No. M/191 of 29/11/1444H) </w:t>
      </w:r>
      <w:hyperlink w:history="1" r:id="rIdkdepwl8r1u4wce3em4ell">
        <w:r>
          <w:rPr>
            <w:rStyle w:val="Hyperlink"/>
            <w:sz w:val="16"/>
            <w:szCs w:val="16"/>
          </w:rPr>
          <w:t xml:space="preserve">https://laws.boe.gov.sa/BoeLaws/Laws/LawDetails/655fdb42-8c96-422b-b8c4-b04f0095c94c/1</w:t>
        </w:r>
      </w:hyperlink>
    </w:p>
    <w:p>
      <w:pPr>
        <w:bidi w:val="false"/>
        <w:ind w:start="360" w:hanging="360"/>
      </w:pPr>
      <w:r>
        <w:rPr>
          <w:sz w:val="18"/>
          <w:szCs w:val="18"/>
          <w:rtl w:val="false"/>
        </w:rPr>
        <w:t xml:space="preserve">[2] UAE Legislation, Federal Decree-Law No. 25 of 2025 (Civil Transactions Law) </w:t>
      </w:r>
      <w:hyperlink w:history="1" r:id="rIdziggfwwzhwpodokrigqd-">
        <w:r>
          <w:rPr>
            <w:rStyle w:val="Hyperlink"/>
            <w:sz w:val="16"/>
            <w:szCs w:val="16"/>
          </w:rPr>
          <w:t xml:space="preserve">https://uaelegislation.gov.ae/en/legislations/4011</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Delete three variants. A narrow scope is stronger than “whatever the client asks”.</w:t>
      </w:r>
    </w:p>
  </w:comment>
  <w:comment w:id="1" w:initials="Q" w:author="Qanu" w:date="2026-10-22T00:00:00.000Z">
    <w:p>
      <w:pPr>
        <w:bidi w:val="false"/>
      </w:pPr>
      <w:r>
        <w:rPr>
          <w:b/>
          <w:bCs/>
          <w:rtl w:val="false"/>
        </w:rPr>
        <w:t xml:space="preserve">Drafting note</w:t>
      </w:r>
    </w:p>
    <w:p>
      <w:pPr>
        <w:bidi w:val="false"/>
      </w:pPr>
      <w:r>
        <w:rPr>
          <w:rtl w:val="false"/>
        </w:rPr>
        <w:t xml:space="preserve">Write the time or delete the line. Do not copy a figure from someone else’s contract.</w:t>
      </w:r>
    </w:p>
  </w:comment>
  <w:comment w:id="2" w:initials="Q" w:author="Qanu" w:date="2026-10-22T00:00:00.000Z">
    <w:p>
      <w:pPr>
        <w:bidi w:val="false"/>
      </w:pPr>
      <w:r>
        <w:rPr>
          <w:b/>
          <w:bCs/>
          <w:rtl w:val="false"/>
        </w:rPr>
        <w:t xml:space="preserve">Drafting note</w:t>
      </w:r>
    </w:p>
    <w:p>
      <w:pPr>
        <w:bidi w:val="false"/>
      </w:pPr>
      <w:r>
        <w:rPr>
          <w:rtl w:val="false"/>
        </w:rPr>
        <w:t xml:space="preserve">The review period is a blank. If it is empty, this page does not fill it with a number.</w:t>
      </w:r>
    </w:p>
  </w:comment>
  <w:comment w:id="3" w:initials="Q" w:author="Qanu" w:date="2026-10-22T00:00:00.000Z">
    <w:p>
      <w:pPr>
        <w:bidi w:val="false"/>
      </w:pPr>
      <w:r>
        <w:rPr>
          <w:b/>
          <w:bCs/>
          <w:rtl w:val="false"/>
        </w:rPr>
        <w:t xml:space="preserve">Drafting note</w:t>
      </w:r>
    </w:p>
    <w:p>
      <w:pPr>
        <w:bidi w:val="false"/>
      </w:pPr>
      <w:r>
        <w:rPr>
          <w:rtl w:val="false"/>
        </w:rPr>
        <w:t xml:space="preserve">Currency and amount. The tax line is for the parties and for the tax law of the country. The page names no rate.</w:t>
      </w:r>
    </w:p>
  </w:comment>
  <w:comment w:id="4" w:initials="Q" w:author="Qanu" w:date="2026-10-22T00:00:00.000Z">
    <w:p>
      <w:pPr>
        <w:bidi w:val="false"/>
      </w:pPr>
      <w:r>
        <w:rPr>
          <w:b/>
          <w:bCs/>
          <w:rtl w:val="false"/>
        </w:rPr>
        <w:t xml:space="preserve">Drafting note</w:t>
      </w:r>
    </w:p>
    <w:p>
      <w:pPr>
        <w:bidi w:val="false"/>
      </w:pPr>
      <w:r>
        <w:rPr>
          <w:rtl w:val="false"/>
        </w:rPr>
        <w:t xml:space="preserve">Notice is a blank. See </w:t>
      </w:r>
      <w:hyperlink w:history="1" r:id="rIddhbnxx0-zfdmld2mmvm6m">
        <w:r>
          <w:rPr>
            <w:rStyle w:val="Hyperlink"/>
            <w:rtl w:val="false"/>
          </w:rPr>
          <w:t xml:space="preserve">penalty clause</w:t>
        </w:r>
      </w:hyperlink>
      <w:r>
        <w:rPr>
          <w:rtl w:val="false"/>
        </w:rPr>
        <w:t xml:space="preserve"> if you add agreed compensation. It is not in this clause.</w:t>
      </w:r>
    </w:p>
  </w:comment>
  <w:comment w:id="5" w:initials="Q" w:author="Qanu" w:date="2026-10-22T00:00:00.000Z">
    <w:p>
      <w:pPr>
        <w:bidi w:val="false"/>
      </w:pPr>
      <w:r>
        <w:rPr>
          <w:b/>
          <w:bCs/>
          <w:rtl w:val="false"/>
        </w:rPr>
        <w:t xml:space="preserve">Drafting note</w:t>
      </w:r>
    </w:p>
    <w:p>
      <w:pPr>
        <w:bidi w:val="false"/>
      </w:pPr>
      <w:r>
        <w:rPr>
          <w:rtl w:val="false"/>
        </w:rPr>
        <w:t xml:space="preserve">The confidentiality period is a blank. This clause does not replace a standalone agreement if the parties want one.</w:t>
      </w:r>
    </w:p>
  </w:comment>
  <w:comment w:id="6" w:initials="Q" w:author="Qanu" w:date="2026-10-22T00:00:00.000Z">
    <w:p>
      <w:pPr>
        <w:bidi w:val="false"/>
      </w:pPr>
      <w:r>
        <w:rPr>
          <w:b/>
          <w:bCs/>
          <w:rtl w:val="false"/>
        </w:rPr>
        <w:t xml:space="preserve">Drafting note</w:t>
      </w:r>
    </w:p>
    <w:p>
      <w:pPr>
        <w:bidi w:val="false"/>
      </w:pPr>
      <w:r>
        <w:rPr>
          <w:rtl w:val="false"/>
        </w:rPr>
        <w:t xml:space="preserve">One option. Tools the Provider had before the agreement are carved out in writing if that is what you want: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comment>
  <w:comment w:id="7" w:initials="Q" w:author="Qanu" w:date="2026-10-22T00:00:00.000Z">
    <w:p>
      <w:pPr>
        <w:bidi w:val="false"/>
      </w:pPr>
      <w:r>
        <w:rPr>
          <w:b/>
          <w:bCs/>
          <w:rtl w:val="false"/>
        </w:rPr>
        <w:t xml:space="preserve">Drafting note</w:t>
      </w:r>
    </w:p>
    <w:p>
      <w:pPr>
        <w:bidi w:val="false"/>
      </w:pPr>
      <w:r>
        <w:rPr>
          <w:rtl w:val="false"/>
        </w:rPr>
        <w:t xml:space="preserve">If no data is processed, delete the clause. If it is, the guide is the place to read, not this page.</w:t>
      </w:r>
    </w:p>
  </w:comment>
  <w:comment w:id="8" w:initials="Q" w:author="Qanu" w:date="2026-10-22T00:00:00.000Z">
    <w:p>
      <w:pPr>
        <w:bidi w:val="false"/>
      </w:pPr>
      <w:r>
        <w:rPr>
          <w:b/>
          <w:bCs/>
          <w:rtl w:val="false"/>
        </w:rPr>
        <w:t xml:space="preserve">Drafting note</w:t>
      </w:r>
    </w:p>
    <w:p>
      <w:pPr>
        <w:bidi w:val="false"/>
      </w:pPr>
      <w:r>
        <w:rPr>
          <w:rtl w:val="false"/>
        </w:rPr>
        <w:t xml:space="preserve">The cap is a sum or a phrase the parties write. The page does not suggest a multiple of the fees.</w:t>
      </w:r>
    </w:p>
  </w:comment>
  <w:comment w:id="9" w:initials="Q" w:author="Qanu" w:date="2026-10-22T00:00:00.000Z">
    <w:p>
      <w:pPr>
        <w:bidi w:val="false"/>
      </w:pPr>
      <w:r>
        <w:rPr>
          <w:b/>
          <w:bCs/>
          <w:rtl w:val="false"/>
        </w:rPr>
        <w:t xml:space="preserve">Drafting note</w:t>
      </w:r>
    </w:p>
    <w:p>
      <w:pPr>
        <w:bidi w:val="false"/>
      </w:pPr>
      <w:r>
        <w:rPr>
          <w:rtl w:val="false"/>
        </w:rPr>
        <w:t xml:space="preserve">The page does not impose a forum. A court with no connection to the contract is a question for a lawyer, not a rule in this file.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https://www.qanu.ai/en/templates/service-agreement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https://www.qanu.ai/en/templates/service-agreement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dhbnxx0-zfdmld2mmvm6m" Type="http://schemas.openxmlformats.org/officeDocument/2006/relationships/hyperlink" Target="https://www.qanu.ai/en/glossary/penalty-clause"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ccocidobtoqms6a2wmqh8" Type="http://schemas.openxmlformats.org/officeDocument/2006/relationships/hyperlink" Target="https://laws.boe.gov.sa/BoeLaws/Laws/LawDetails/655fdb42-8c96-422b-b8c4-b04f0095c94c/1" TargetMode="External"/><Relationship Id="rIdw_hqorfuw4demcyjve7e6" Type="http://schemas.openxmlformats.org/officeDocument/2006/relationships/hyperlink" Target="https://uaelegislation.gov.ae/en/legislations/4011" TargetMode="External"/><Relationship Id="rIdxxrbdvqctlc_6ghhhij3x" Type="http://schemas.openxmlformats.org/officeDocument/2006/relationships/hyperlink" Target="https://www.qanu.ai/en/templates/nda" TargetMode="External"/><Relationship Id="rIdmoq0mtfjlatab3x4d5rdk" Type="http://schemas.openxmlformats.org/officeDocument/2006/relationships/hyperlink" Target="https://www.qanu.ai/en/guides/gcc-data-protection-legal-teams" TargetMode="External"/><Relationship Id="rIdzrmrpdh7mlykpawtjzm6f" Type="http://schemas.openxmlformats.org/officeDocument/2006/relationships/hyperlink" Target="https://creativecommons.org/licenses/by/4.0/deed.en" TargetMode="External"/><Relationship Id="rIdkdepwl8r1u4wce3em4ell" Type="http://schemas.openxmlformats.org/officeDocument/2006/relationships/hyperlink" Target="https://laws.boe.gov.sa/BoeLaws/Laws/LawDetails/655fdb42-8c96-422b-b8c4-b04f0095c94c/1" TargetMode="External"/><Relationship Id="rIdziggfwwzhwpodokrigqd-" Type="http://schemas.openxmlformats.org/officeDocument/2006/relationships/hyperlink" Target="https://uaelegislation.gov.ae/en/legislations/4011"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dc:title>
  <dc:creator>Qanu</dc:creator>
  <cp:keywords>Service agreement, Muqawala, Consulting services,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2026-10-22T19:44:50.840Z</dcterms:created>
  <dcterms:modified xsi:type="dcterms:W3CDTF">2026-10-22T19:44:50.840Z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https://www.qanu.ai/en/templates/service-agreement</vt:lpwstr>
  </property>
</Properties>
</file>