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File the conciliation on Taradhi if the dispute is in Saudi Arabia.</w:t>
      </w:r>
      <w:r>
        <w:rPr>
          <w:rtl w:val="false"/>
        </w:rPr>
        <w:t xml:space="preserve"> In Saudi Arabia, the e-service “File a new electronic conciliation request” lets a person apply through Taradhi to end a dispute by amicable settlement. The Ministry of Justice service card says the procedure is documented and officially certified by the MoJ Conciliation Center, digitally, without a visit to a justice facility.</w:t>
      </w:r>
      <w:r>
        <w:rPr>
          <w:rtl w:val="false"/>
        </w:rPr>
        <w:t xml:space="preserve"> [1]</w:t>
      </w:r>
      <w:r>
        <w:rPr>
          <w:rtl w:val="false"/>
        </w:rPr>
        <w:t xml:space="preserve"> This template is the wording the parties agree before they file. It does not itself certify the settlement. In the UAE, check the conciliation or amicable-settlement service of the court that has the dispute. This page does not name a centre whose text was not read. Saudi civil rules are in the Civil Transactions Law on the Ministry of Justice portal, with no article numbers here.</w:t>
      </w:r>
      <w:r>
        <w:rPr>
          <w:rtl w:val="false"/>
        </w:rPr>
        <w:t xml:space="preserve"> [4]</w:t>
      </w:r>
      <w:r>
        <w:rPr>
          <w:rtl w:val="false"/>
        </w:rPr>
        <w:t xml:space="preserve"> In the UAE the Civil Transactions Law is Federal Decree-Law No. 25 of 2025, in force on 1 June 2026, with no article numbers.</w:t>
      </w:r>
      <w:r>
        <w:rPr>
          <w:rtl w:val="false"/>
        </w:rPr>
        <w:t xml:space="preserve"> [5][6]</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File a conciliation request: </w:t>
      </w:r>
      <w:hyperlink w:history="1" r:id="rIdauxwshcmcgpywcfjl8orj">
        <w:r>
          <w:rPr>
            <w:rStyle w:val="Hyperlink"/>
            <w:sz w:val="17"/>
            <w:szCs w:val="17"/>
          </w:rPr>
          <w:t xml:space="preserve">https://www.moj.gov.sa/ar/eServices/pages/03a8864f-8964-4407-bc40-337c69a27b12.aspx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Taradhi: </w:t>
      </w:r>
      <w:hyperlink w:history="1" r:id="rId8l82bi0exad3tase1jzfo">
        <w:r>
          <w:rPr>
            <w:rStyle w:val="Hyperlink"/>
            <w:sz w:val="17"/>
            <w:szCs w:val="17"/>
          </w:rPr>
          <w:t xml:space="preserve">https://taradhi.moj.gov.sa/</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Civil Transactions Law (KSA): </w:t>
      </w:r>
      <w:hyperlink w:history="1" r:id="rIdkb7chgyoastm9kam88s6o">
        <w:r>
          <w:rPr>
            <w:rStyle w:val="Hyperlink"/>
            <w:sz w:val="17"/>
            <w:szCs w:val="17"/>
          </w:rPr>
          <w:t xml:space="preserve">https://laws.moj.gov.sa/ar/legislation/PBbHmywh1XMp-Kyv3NtQLg</w:t>
        </w:r>
      </w:hyperlink>
    </w:p>
    <w:p>
      <w:pPr>
        <w:bidi w:val="false"/>
        <w:spacing w:after="240"/>
      </w:pPr>
    </w:p>
    <w:p>
      <w:pPr>
        <w:pStyle w:val="Title"/>
        <w:bidi w:val="false"/>
      </w:pPr>
      <w:r>
        <w:rPr>
          <w:rtl w:val="false"/>
        </w:rPr>
        <w:t xml:space="preserve">Settlement and release</w:t>
      </w:r>
    </w:p>
    <w:p>
      <w:pPr>
        <w:bidi w:val="false"/>
        <w:spacing w:after="240"/>
      </w:pPr>
      <w:r>
        <w:rPr>
          <w:color w:val="444444"/>
          <w:rtl w:val="false"/>
        </w:rPr>
        <w:t xml:space="preserve">A settlement of a commercial or civil dispute between two parties in the GCC: the sum, a payment schedule, a release and confidentiality. It does not settle end-of-service benefits, family matters or criminal cases.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 and delete the option that doesn’t apply.</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This agreement is 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between </w:t>
      </w:r>
      <w:r>
        <w:rPr>
          <w:highlight w:val="yellow"/>
          <w:rtl w:val="false"/>
        </w:rPr>
        <w:t xml:space="preserve">[</w:t>
      </w:r>
      <w:r>
        <w:rPr>
          <w:highlight w:val="yellow"/>
          <w:rtl w:val="false"/>
        </w:rPr>
        <w:t xml:space="preserve">Party A: name, ID/CR, address</w:t>
      </w:r>
      <w:r>
        <w:rPr>
          <w:highlight w:val="yellow"/>
          <w:rtl w:val="false"/>
        </w:rPr>
        <w:t xml:space="preserve">]</w:t>
      </w:r>
      <w:r>
        <w:rPr>
          <w:rtl w:val="false"/>
        </w:rPr>
        <w:t xml:space="preserve"> and </w:t>
      </w:r>
      <w:r>
        <w:rPr>
          <w:highlight w:val="yellow"/>
          <w:rtl w:val="false"/>
        </w:rPr>
        <w:t xml:space="preserve">[</w:t>
      </w:r>
      <w:r>
        <w:rPr>
          <w:highlight w:val="yellow"/>
          <w:rtl w:val="false"/>
        </w:rPr>
        <w:t xml:space="preserve">Party B: name, ID/CR, address</w:t>
      </w:r>
      <w:r>
        <w:rPr>
          <w:highlight w:val="yellow"/>
          <w:rtl w:val="false"/>
        </w:rPr>
        <w:t xml:space="preserve">]</w:t>
      </w:r>
      <w:r>
        <w:rPr>
          <w:rtl w:val="false"/>
        </w:rPr>
        <w:t xml:space="preserve"> (each a “Party”).</w:t>
      </w:r>
    </w:p>
    <w:p>
      <w:pPr>
        <w:pStyle w:val="Heading1"/>
        <w:bidi w:val="false"/>
      </w:pPr>
      <w:commentRangeStart w:id="1"/>
      <w:r>
        <w:rPr>
          <w:rtl w:val="false"/>
        </w:rPr>
        <w:t xml:space="preserve">2. The dispute</w:t>
      </w:r>
      <w:commentRangeEnd w:id="1"/>
      <w:r>
        <w:rPr>
          <w:rtl w:val="false"/>
        </w:rPr>
        <w:commentReference w:id="1"/>
      </w:r>
    </w:p>
    <w:p>
      <w:pPr>
        <w:bidi w:val="false"/>
      </w:pPr>
      <w:r>
        <w:rPr>
          <w:rtl w:val="false"/>
        </w:rPr>
        <w:t xml:space="preserve">A dispute arose about </w:t>
      </w:r>
      <w:r>
        <w:rPr>
          <w:highlight w:val="yellow"/>
          <w:rtl w:val="false"/>
        </w:rPr>
        <w:t xml:space="preserve">[</w:t>
      </w:r>
      <w:r>
        <w:rPr>
          <w:highlight w:val="yellow"/>
          <w:rtl w:val="false"/>
        </w:rPr>
        <w:t xml:space="preserve">neutral description: the contract, the sum, the date</w:t>
      </w:r>
      <w:r>
        <w:rPr>
          <w:highlight w:val="yellow"/>
          <w:rtl w:val="false"/>
        </w:rPr>
        <w:t xml:space="preserve">]</w:t>
      </w:r>
      <w:r>
        <w:rPr>
          <w:rtl w:val="false"/>
        </w:rPr>
        <w:t xml:space="preserve">. Neither party admits the other’s case by signing this agreement.</w:t>
      </w:r>
    </w:p>
    <w:p>
      <w:pPr>
        <w:pStyle w:val="Heading1"/>
        <w:bidi w:val="false"/>
      </w:pPr>
      <w:commentRangeStart w:id="2"/>
      <w:r>
        <w:rPr>
          <w:rtl w:val="false"/>
        </w:rPr>
        <w:t xml:space="preserve">3. Settlement sum and payment</w:t>
      </w:r>
      <w:commentRangeEnd w:id="2"/>
      <w:r>
        <w:rPr>
          <w:rtl w:val="false"/>
        </w:rPr>
        <w:commentReference w:id="2"/>
      </w:r>
    </w:p>
    <w:p>
      <w:pPr>
        <w:bidi w:val="false"/>
      </w:pPr>
      <w:r>
        <w:rPr>
          <w:highlight w:val="yellow"/>
          <w:rtl w:val="false"/>
        </w:rPr>
        <w:t xml:space="preserve">[</w:t>
      </w:r>
      <w:r>
        <w:rPr>
          <w:highlight w:val="yellow"/>
          <w:rtl w:val="false"/>
        </w:rPr>
        <w:t xml:space="preserve">Payer</w:t>
      </w:r>
      <w:r>
        <w:rPr>
          <w:highlight w:val="yellow"/>
          <w:rtl w:val="false"/>
        </w:rPr>
        <w:t xml:space="preserve">]</w:t>
      </w:r>
      <w:r>
        <w:rPr>
          <w:rtl w:val="false"/>
        </w:rPr>
        <w:t xml:space="preserve"> pays </w:t>
      </w:r>
      <w:r>
        <w:rPr>
          <w:highlight w:val="yellow"/>
          <w:rtl w:val="false"/>
        </w:rPr>
        <w:t xml:space="preserve">[</w:t>
      </w:r>
      <w:r>
        <w:rPr>
          <w:highlight w:val="yellow"/>
          <w:rtl w:val="false"/>
        </w:rPr>
        <w:t xml:space="preserve">Payee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amount</w:t>
      </w:r>
      <w:r>
        <w:rPr>
          <w:highlight w:val="yellow"/>
          <w:rtl w:val="false"/>
        </w:rPr>
        <w:t xml:space="preserve">]</w:t>
      </w:r>
      <w:r>
        <w:rPr>
          <w:rtl w:val="false"/>
        </w:rPr>
        <w:t xml:space="preserve"> on the schedule in Annex 1, in return for ending the dispute described in clause 2.</w:t>
      </w:r>
    </w:p>
    <w:p>
      <w:pPr>
        <w:bidi w:val="false"/>
      </w:pPr>
      <w:r>
        <w:rPr>
          <w:rtl w:val="false"/>
        </w:rPr>
        <w:t xml:space="preserve">The Payee releases the Payer from this sum only to the extent it is actually paid. The balance remains due until payment is complete.</w:t>
      </w:r>
    </w:p>
    <w:p>
      <w:pPr>
        <w:pStyle w:val="Heading1"/>
        <w:bidi w:val="false"/>
      </w:pPr>
      <w:commentRangeStart w:id="3"/>
      <w:r>
        <w:rPr>
          <w:rtl w:val="false"/>
        </w:rPr>
        <w:t xml:space="preserve">4. Default and acceleration</w:t>
      </w:r>
      <w:commentRangeEnd w:id="3"/>
      <w:r>
        <w:rPr>
          <w:rtl w:val="false"/>
        </w:rPr>
        <w:commentReference w:id="3"/>
      </w:r>
    </w:p>
    <w:p>
      <w:pPr>
        <w:bidi w:val="false"/>
      </w:pPr>
      <w:r>
        <w:rPr>
          <w:b/>
          <w:bCs/>
          <w:rtl w:val="false"/>
        </w:rPr>
        <w:t xml:space="preserve">Option:</w:t>
      </w:r>
      <w:r>
        <w:rPr>
          <w:rtl w:val="false"/>
        </w:rPr>
        <w:t xml:space="preserve"> if an instalment is more than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late after written notice, the balance becomes due at once. Instalments already paid still end the part of the dispute they covered.</w:t>
      </w:r>
    </w:p>
    <w:p>
      <w:pPr>
        <w:bidi w:val="false"/>
      </w:pPr>
      <w:r>
        <w:rPr>
          <w:rtl w:val="false"/>
        </w:rPr>
        <w:t xml:space="preserve">Delete this option if the sum is paid in one amount.</w:t>
      </w:r>
    </w:p>
    <w:p>
      <w:pPr>
        <w:pStyle w:val="Heading1"/>
        <w:bidi w:val="false"/>
      </w:pPr>
      <w:commentRangeStart w:id="4"/>
      <w:r>
        <w:rPr>
          <w:rtl w:val="false"/>
        </w:rPr>
        <w:t xml:space="preserve">5. Release and its limits</w:t>
      </w:r>
      <w:commentRangeEnd w:id="4"/>
      <w:r>
        <w:rPr>
          <w:rtl w:val="false"/>
        </w:rPr>
        <w:commentReference w:id="4"/>
      </w:r>
    </w:p>
    <w:p>
      <w:pPr>
        <w:bidi w:val="false"/>
      </w:pPr>
      <w:r>
        <w:rPr>
          <w:rtl w:val="false"/>
        </w:rPr>
        <w:t xml:space="preserve">Each party releases the other from claims arising out of the dispute described in clause 2 only, and only once payment is complete. The release does not cover: </w:t>
      </w:r>
      <w:r>
        <w:rPr>
          <w:highlight w:val="yellow"/>
          <w:rtl w:val="false"/>
        </w:rPr>
        <w:t xml:space="preserve">[</w:t>
      </w:r>
      <w:r>
        <w:rPr>
          <w:highlight w:val="yellow"/>
          <w:rtl w:val="false"/>
        </w:rPr>
        <w:t xml:space="preserve">excluded claims</w:t>
      </w:r>
      <w:r>
        <w:rPr>
          <w:highlight w:val="yellow"/>
          <w:rtl w:val="false"/>
        </w:rPr>
        <w:t xml:space="preserve">]</w:t>
      </w:r>
      <w:r>
        <w:rPr>
          <w:rtl w:val="false"/>
        </w:rPr>
        <w:t xml:space="preserve">, or </w:t>
      </w:r>
      <w:hyperlink w:history="1" r:id="rId3kbvzxdkbqr5a4fyb2zyu">
        <w:r>
          <w:rPr>
            <w:rStyle w:val="Hyperlink"/>
            <w:rtl w:val="false"/>
          </w:rPr>
          <w:t xml:space="preserve">end-of-service gratuity</w:t>
        </w:r>
      </w:hyperlink>
      <w:r>
        <w:rPr>
          <w:rtl w:val="false"/>
        </w:rPr>
        <w:t xml:space="preserve"> or any employment settlement. Use the </w:t>
      </w:r>
      <w:hyperlink w:history="1" r:id="rIdgw7boxqhtcgxi3e16moui">
        <w:r>
          <w:rPr>
            <w:rStyle w:val="Hyperlink"/>
            <w:rtl w:val="false"/>
          </w:rPr>
          <w:t xml:space="preserve">employment contract template</w:t>
        </w:r>
      </w:hyperlink>
      <w:r>
        <w:rPr>
          <w:rtl w:val="false"/>
        </w:rPr>
        <w:t xml:space="preserve"> for those.</w:t>
      </w:r>
    </w:p>
    <w:p>
      <w:pPr>
        <w:pStyle w:val="Heading1"/>
        <w:bidi w:val="false"/>
      </w:pPr>
      <w:r>
        <w:rPr>
          <w:rtl w:val="false"/>
        </w:rPr>
        <w:t xml:space="preserve">6. No admission</w:t>
      </w:r>
    </w:p>
    <w:p>
      <w:pPr>
        <w:bidi w:val="false"/>
      </w:pPr>
      <w:r>
        <w:rPr>
          <w:rtl w:val="false"/>
        </w:rPr>
        <w:t xml:space="preserve">Signing this agreement, and any payment under it, is not an admission of liability by either party.</w:t>
      </w:r>
    </w:p>
    <w:p>
      <w:pPr>
        <w:pStyle w:val="Heading1"/>
        <w:bidi w:val="false"/>
      </w:pPr>
      <w:r>
        <w:rPr>
          <w:rtl w:val="false"/>
        </w:rPr>
        <w:t xml:space="preserve">7. Confidentiality</w:t>
      </w:r>
    </w:p>
    <w:p>
      <w:pPr>
        <w:bidi w:val="false"/>
      </w:pPr>
      <w:r>
        <w:rPr>
          <w:rtl w:val="false"/>
        </w:rPr>
        <w:t xml:space="preserve">The parties keep the terms confidential, except for disclosure to a lawyer or an accountant, where the law requires it, or to perform or to certify this agreement.</w:t>
      </w:r>
    </w:p>
    <w:p>
      <w:pPr>
        <w:pStyle w:val="Heading1"/>
        <w:bidi w:val="false"/>
      </w:pPr>
      <w:commentRangeStart w:id="5"/>
      <w:r>
        <w:rPr>
          <w:rtl w:val="false"/>
        </w:rPr>
        <w:t xml:space="preserve">8. Pending claims and filing the settlement</w:t>
      </w:r>
      <w:commentRangeEnd w:id="5"/>
      <w:r>
        <w:rPr>
          <w:rtl w:val="false"/>
        </w:rPr>
        <w:commentReference w:id="5"/>
      </w:r>
    </w:p>
    <w:p>
      <w:pPr>
        <w:bidi w:val="false"/>
      </w:pPr>
      <w:r>
        <w:rPr>
          <w:rtl w:val="false"/>
        </w:rPr>
        <w:t xml:space="preserve">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of signature, the parties do the following, each for its own part:</w:t>
      </w:r>
    </w:p>
    <w:p>
      <w:pPr>
        <w:bidi w:val="false"/>
        <w:ind w:start="360" w:hanging="0"/>
      </w:pPr>
      <w:r>
        <w:rPr>
          <w:rtl w:val="false"/>
        </w:rPr>
        <w:t xml:space="preserve">(a) Tell the court or other forum of any pending case number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and ask to withdraw it or to record the settlement if that forum accepts the request.</w:t>
      </w:r>
    </w:p>
    <w:p>
      <w:pPr>
        <w:bidi w:val="false"/>
        <w:ind w:start="360" w:hanging="0"/>
      </w:pPr>
      <w:r>
        <w:rPr>
          <w:rtl w:val="false"/>
        </w:rPr>
        <w:t xml:space="preserve">(b) In Saudi Arabia: file a conciliation request through Najiz and then Taradhi if the parties want the Conciliation Center to certify it.</w:t>
      </w:r>
    </w:p>
    <w:p>
      <w:pPr>
        <w:bidi w:val="false"/>
        <w:ind w:start="360" w:hanging="0"/>
      </w:pPr>
      <w:r>
        <w:rPr>
          <w:rtl w:val="false"/>
        </w:rPr>
        <w:t xml:space="preserve">(c) Keep a signed copy for each party.</w:t>
      </w:r>
    </w:p>
    <w:p>
      <w:pPr>
        <w:pStyle w:val="Heading1"/>
        <w:bidi w:val="false"/>
      </w:pPr>
      <w:commentRangeStart w:id="6"/>
      <w:r>
        <w:rPr>
          <w:rtl w:val="false"/>
        </w:rPr>
        <w:t xml:space="preserve">9. Governing law and forum</w:t>
      </w:r>
      <w:commentRangeEnd w:id="6"/>
      <w:r>
        <w:rPr>
          <w:rtl w:val="false"/>
        </w:rPr>
        <w:commentReference w:id="6"/>
      </w:r>
    </w:p>
    <w:p>
      <w:pPr>
        <w:bidi w:val="false"/>
      </w:pPr>
      <w:r>
        <w:rPr>
          <w:rtl w:val="false"/>
        </w:rPr>
        <w:t xml:space="preserve">This agreement is governed by the laws of </w:t>
      </w:r>
      <w:r>
        <w:rPr>
          <w:highlight w:val="yellow"/>
          <w:rtl w:val="false"/>
        </w:rPr>
        <w:t xml:space="preserve">[</w:t>
      </w:r>
      <w:r>
        <w:rPr>
          <w:highlight w:val="yellow"/>
          <w:rtl w:val="false"/>
        </w:rPr>
        <w:t xml:space="preserve">country</w:t>
      </w:r>
      <w:r>
        <w:rPr>
          <w:highlight w:val="yellow"/>
          <w:rtl w:val="false"/>
        </w:rPr>
        <w:t xml:space="preserve">]</w:t>
      </w:r>
      <w:r>
        <w:rPr>
          <w:rtl w:val="false"/>
        </w:rPr>
        <w:t xml:space="preserve">. A dispute about it goes to </w:t>
      </w:r>
      <w:r>
        <w:rPr>
          <w:highlight w:val="yellow"/>
          <w:rtl w:val="false"/>
        </w:rPr>
        <w:t xml:space="preserve">[</w:t>
      </w:r>
      <w:r>
        <w:rPr>
          <w:highlight w:val="yellow"/>
          <w:rtl w:val="false"/>
        </w:rPr>
        <w:t xml:space="preserve">the courts of ● / arbitration under ●</w:t>
      </w:r>
      <w:r>
        <w:rPr>
          <w:highlight w:val="yellow"/>
          <w:rtl w:val="false"/>
        </w:rPr>
        <w:t xml:space="preserve">]</w:t>
      </w:r>
      <w:r>
        <w:rPr>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Party A:</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Party B:</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Saudi Arabia notes</w:t>
      </w:r>
    </w:p>
    <w:p>
      <w:pPr>
        <w:bidi w:val="false"/>
      </w:pPr>
      <w:r>
        <w:rPr>
          <w:rtl w:val="false"/>
        </w:rPr>
        <w:t xml:space="preserve">What the conciliation service card states. The body of the Civil Transactions Law was not readable from this network.</w:t>
      </w:r>
      <w:r>
        <w:rPr>
          <w:rtl w:val="false"/>
        </w:rPr>
        <w:t xml:space="preserve"> [1][4]</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card states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Filing</w:t>
            </w:r>
          </w:p>
        </w:tc>
        <w:tc>
          <w:tcPr>
            <w:tcMar>
              <w:top w:type="dxa" w:w="80"/>
              <w:left w:type="dxa" w:w="100"/>
              <w:bottom w:type="dxa" w:w="80"/>
              <w:right w:type="dxa" w:w="100"/>
            </w:tcMar>
          </w:tcPr>
          <w:p>
            <w:pPr>
              <w:bidi w:val="false"/>
              <w:spacing w:after="0"/>
            </w:pPr>
            <w:r>
              <w:rPr>
                <w:b w:val="false"/>
                <w:sz w:val="18"/>
                <w:szCs w:val="18"/>
                <w:rtl w:val="false"/>
              </w:rPr>
              <w:t xml:space="preserve">The request starts on Najiz, in the conciliation package, then the electronic conciliation service, then Taradhi.</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Certification</w:t>
            </w:r>
          </w:p>
        </w:tc>
        <w:tc>
          <w:tcPr>
            <w:tcMar>
              <w:top w:type="dxa" w:w="80"/>
              <w:left w:type="dxa" w:w="100"/>
              <w:bottom w:type="dxa" w:w="80"/>
              <w:right w:type="dxa" w:w="100"/>
            </w:tcMar>
          </w:tcPr>
          <w:p>
            <w:pPr>
              <w:bidi w:val="false"/>
              <w:spacing w:after="0"/>
            </w:pPr>
            <w:r>
              <w:rPr>
                <w:b w:val="false"/>
                <w:sz w:val="18"/>
                <w:szCs w:val="18"/>
                <w:rtl w:val="false"/>
              </w:rPr>
              <w:t xml:space="preserve">The card describes an amicable settlement with official certification by the MoJ Conciliation Center, digitally, without a visit to a justice facility.</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Documents</w:t>
            </w:r>
          </w:p>
        </w:tc>
        <w:tc>
          <w:tcPr>
            <w:tcMar>
              <w:top w:type="dxa" w:w="80"/>
              <w:left w:type="dxa" w:w="100"/>
              <w:bottom w:type="dxa" w:w="80"/>
              <w:right w:type="dxa" w:w="100"/>
            </w:tcMar>
          </w:tcPr>
          <w:p>
            <w:pPr>
              <w:bidi w:val="false"/>
              <w:spacing w:after="0"/>
            </w:pPr>
            <w:r>
              <w:rPr>
                <w:b w:val="false"/>
                <w:sz w:val="18"/>
                <w:szCs w:val="18"/>
                <w:rtl w:val="false"/>
              </w:rPr>
              <w:t xml:space="preserve">The card says no documents are required to file the request.</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Civil law</w:t>
            </w:r>
          </w:p>
        </w:tc>
        <w:tc>
          <w:tcPr>
            <w:tcMar>
              <w:top w:type="dxa" w:w="80"/>
              <w:left w:type="dxa" w:w="100"/>
              <w:bottom w:type="dxa" w:w="80"/>
              <w:right w:type="dxa" w:w="100"/>
            </w:tcMar>
          </w:tcPr>
          <w:p>
            <w:pPr>
              <w:bidi w:val="false"/>
              <w:spacing w:after="0"/>
            </w:pPr>
            <w:r>
              <w:rPr>
                <w:b w:val="false"/>
                <w:sz w:val="18"/>
                <w:szCs w:val="18"/>
                <w:rtl w:val="false"/>
              </w:rPr>
              <w:t xml:space="preserve">The Civil Transactions Law is published on the Ministry of Justice portal. This template cites no article numbers.</w:t>
            </w:r>
            <w:r>
              <w:rPr>
                <w:b w:val="false"/>
                <w:sz w:val="18"/>
                <w:szCs w:val="18"/>
                <w:rtl w:val="false"/>
              </w:rPr>
              <w:t xml:space="preserve"> [4]</w:t>
            </w:r>
          </w:p>
        </w:tc>
      </w:tr>
    </w:tbl>
    <w:p>
      <w:pPr>
        <w:bidi w:val="false"/>
      </w:pPr>
    </w:p>
    <w:p>
      <w:pPr>
        <w:pStyle w:val="Heading1"/>
        <w:pageBreakBefore/>
        <w:bidi w:val="false"/>
      </w:pPr>
      <w:r>
        <w:rPr>
          <w:rtl w:val="false"/>
        </w:rPr>
        <w:t xml:space="preserve">UAE notes</w:t>
      </w:r>
    </w:p>
    <w:p>
      <w:pPr>
        <w:bidi w:val="false"/>
      </w:pPr>
      <w:r>
        <w:rPr>
          <w:rtl w:val="false"/>
        </w:rPr>
        <w:t xml:space="preserve">No article numbers.</w:t>
      </w:r>
      <w:r>
        <w:rPr>
          <w:rtl w:val="false"/>
        </w:rPr>
        <w:t xml:space="preserve"> [5][6]</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Civil law</w:t>
            </w:r>
          </w:p>
        </w:tc>
        <w:tc>
          <w:tcPr>
            <w:tcMar>
              <w:top w:type="dxa" w:w="80"/>
              <w:left w:type="dxa" w:w="100"/>
              <w:bottom w:type="dxa" w:w="80"/>
              <w:right w:type="dxa" w:w="100"/>
            </w:tcMar>
          </w:tcPr>
          <w:p>
            <w:pPr>
              <w:bidi w:val="false"/>
              <w:spacing w:after="0"/>
            </w:pPr>
            <w:r>
              <w:rPr>
                <w:b w:val="false"/>
                <w:sz w:val="18"/>
                <w:szCs w:val="18"/>
                <w:rtl w:val="false"/>
              </w:rPr>
              <w:t xml:space="preserve">Federal Decree-Law No. 25 of 2025 on civil transactions, in force on 1 June 2026. No article numbers.</w:t>
            </w:r>
            <w:r>
              <w:rPr>
                <w:b w:val="false"/>
                <w:sz w:val="18"/>
                <w:szCs w:val="18"/>
                <w:rtl w:val="false"/>
              </w:rPr>
              <w:t xml:space="preserve"> [5]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Publication</w:t>
            </w:r>
          </w:p>
        </w:tc>
        <w:tc>
          <w:tcPr>
            <w:tcMar>
              <w:top w:type="dxa" w:w="80"/>
              <w:left w:type="dxa" w:w="100"/>
              <w:bottom w:type="dxa" w:w="80"/>
              <w:right w:type="dxa" w:w="100"/>
            </w:tcMar>
          </w:tcPr>
          <w:p>
            <w:pPr>
              <w:bidi w:val="false"/>
              <w:spacing w:after="0"/>
            </w:pPr>
            <w:r>
              <w:rPr>
                <w:b w:val="false"/>
                <w:sz w:val="18"/>
                <w:szCs w:val="18"/>
                <w:rtl w:val="false"/>
              </w:rPr>
              <w:t xml:space="preserve">Federal legislation is published on the UAE Legislation platform. The government portal points to where to find it.</w:t>
            </w:r>
            <w:r>
              <w:rPr>
                <w:b w:val="false"/>
                <w:sz w:val="18"/>
                <w:szCs w:val="18"/>
                <w:rtl w:val="false"/>
              </w:rPr>
              <w:t xml:space="preserve"> [6]</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Conciliation centre</w:t>
            </w:r>
          </w:p>
        </w:tc>
        <w:tc>
          <w:tcPr>
            <w:tcMar>
              <w:top w:type="dxa" w:w="80"/>
              <w:left w:type="dxa" w:w="100"/>
              <w:bottom w:type="dxa" w:w="80"/>
              <w:right w:type="dxa" w:w="100"/>
            </w:tcMar>
          </w:tcPr>
          <w:p>
            <w:pPr>
              <w:bidi w:val="false"/>
              <w:spacing w:after="0"/>
            </w:pPr>
            <w:r>
              <w:rPr>
                <w:b w:val="false"/>
                <w:sz w:val="18"/>
                <w:szCs w:val="18"/>
                <w:rtl w:val="false"/>
              </w:rPr>
              <w:t xml:space="preserve">This pass did not read a named federal or local conciliation centre. Check the competent court’s service before you name one in the contract.</w:t>
            </w:r>
          </w:p>
        </w:tc>
      </w:tr>
    </w:tbl>
    <w:p>
      <w:pPr>
        <w:bidi w:val="false"/>
      </w:pPr>
    </w:p>
    <w:p>
      <w:pPr>
        <w:pStyle w:val="Heading1"/>
        <w:pageBreakBefore/>
        <w:bidi w:val="false"/>
      </w:pPr>
      <w:r>
        <w:rPr>
          <w:rtl w:val="false"/>
        </w:rPr>
        <w:t xml:space="preserve">Annex 1 – Payment schedule</w:t>
      </w:r>
    </w:p>
    <w:p>
      <w:pPr>
        <w:bidi w:val="false"/>
      </w:pPr>
      <w:r>
        <w:rPr>
          <w:rtl w:val="false"/>
        </w:rPr>
        <w:t xml:space="preserve">One instalment or several. The amounts should add up to the sum in clause 3.</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77"/>
        <w:gridCol w:w="2377"/>
        <w:gridCol w:w="2377"/>
        <w:gridCol w:w="2377"/>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Instalment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Due date</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Amount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Method</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1</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date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amount</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transfer / cheque / other</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2</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date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amount</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3</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date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amount</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olshvhi6pol6f09g9-jdv">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https://www.qanu.ai/en/templates/settlement-agreement · Last reviewed: 17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Saudi Ministry of Justice, e-service “File a new electronic conciliation request” (Taradhi) </w:t>
      </w:r>
      <w:hyperlink w:history="1" r:id="rIdccp6gi5yclmiwr6w9fs6v">
        <w:r>
          <w:rPr>
            <w:rStyle w:val="Hyperlink"/>
            <w:sz w:val="16"/>
            <w:szCs w:val="16"/>
          </w:rPr>
          <w:t xml:space="preserve">https://www.moj.gov.sa/ar/eServices/pages/03a8864f-8964-4407-bc40-337c69a27b12.aspx</w:t>
        </w:r>
      </w:hyperlink>
    </w:p>
    <w:p>
      <w:pPr>
        <w:bidi w:val="false"/>
        <w:ind w:start="360" w:hanging="360"/>
      </w:pPr>
      <w:r>
        <w:rPr>
          <w:sz w:val="18"/>
          <w:szCs w:val="18"/>
          <w:rtl w:val="false"/>
        </w:rPr>
        <w:t xml:space="preserve">[2] Taradhi, Ministry of Justice conciliation platform </w:t>
      </w:r>
      <w:hyperlink w:history="1" r:id="rId7crjoz36_ioyzqrk1yzup">
        <w:r>
          <w:rPr>
            <w:rStyle w:val="Hyperlink"/>
            <w:sz w:val="16"/>
            <w:szCs w:val="16"/>
          </w:rPr>
          <w:t xml:space="preserve">https://taradhi.moj.gov.sa/</w:t>
        </w:r>
      </w:hyperlink>
    </w:p>
    <w:p>
      <w:pPr>
        <w:bidi w:val="false"/>
        <w:ind w:start="360" w:hanging="360"/>
      </w:pPr>
      <w:r>
        <w:rPr>
          <w:sz w:val="18"/>
          <w:szCs w:val="18"/>
          <w:rtl w:val="false"/>
        </w:rPr>
        <w:t xml:space="preserve">[3] Najiz, Ministry of Justice electronic-services portal </w:t>
      </w:r>
      <w:hyperlink w:history="1" r:id="rId0w9as9wazyspbqycazv-o">
        <w:r>
          <w:rPr>
            <w:rStyle w:val="Hyperlink"/>
            <w:sz w:val="16"/>
            <w:szCs w:val="16"/>
          </w:rPr>
          <w:t xml:space="preserve">https://najiz.sa/applications/landing</w:t>
        </w:r>
      </w:hyperlink>
    </w:p>
    <w:p>
      <w:pPr>
        <w:bidi w:val="false"/>
        <w:ind w:start="360" w:hanging="360"/>
      </w:pPr>
      <w:r>
        <w:rPr>
          <w:sz w:val="18"/>
          <w:szCs w:val="18"/>
          <w:rtl w:val="false"/>
        </w:rPr>
        <w:t xml:space="preserve">[4] Ministry of Justice legal portal, Civil Transactions Law (Royal Decree No. M/191 of 29/11/1444H) </w:t>
      </w:r>
      <w:hyperlink w:history="1" r:id="rId4dajmdd86ur8lgzq8_fek">
        <w:r>
          <w:rPr>
            <w:rStyle w:val="Hyperlink"/>
            <w:sz w:val="16"/>
            <w:szCs w:val="16"/>
          </w:rPr>
          <w:t xml:space="preserve">https://laws.moj.gov.sa/ar/legislation/PBbHmywh1XMp-Kyv3NtQLg</w:t>
        </w:r>
      </w:hyperlink>
    </w:p>
    <w:p>
      <w:pPr>
        <w:bidi w:val="false"/>
        <w:ind w:start="360" w:hanging="360"/>
      </w:pPr>
      <w:r>
        <w:rPr>
          <w:sz w:val="18"/>
          <w:szCs w:val="18"/>
          <w:rtl w:val="false"/>
        </w:rPr>
        <w:t xml:space="preserve">[5] UAE Legislation, Federal Decree-Law No. 25 of 2025 (Civil Transactions Law) </w:t>
      </w:r>
      <w:hyperlink w:history="1" r:id="rIdyklrfgzgt-akkahpf_cqo">
        <w:r>
          <w:rPr>
            <w:rStyle w:val="Hyperlink"/>
            <w:sz w:val="16"/>
            <w:szCs w:val="16"/>
          </w:rPr>
          <w:t xml:space="preserve">https://uaelegislation.gov.ae/en/legislations/4011</w:t>
        </w:r>
      </w:hyperlink>
    </w:p>
    <w:p>
      <w:pPr>
        <w:bidi w:val="false"/>
        <w:ind w:start="360" w:hanging="360"/>
      </w:pPr>
      <w:r>
        <w:rPr>
          <w:sz w:val="18"/>
          <w:szCs w:val="18"/>
          <w:rtl w:val="false"/>
        </w:rPr>
        <w:t xml:space="preserve">[6] UAE Government portal (u.ae), Where to find the UAE's federal laws </w:t>
      </w:r>
      <w:hyperlink w:history="1" r:id="rIdhxyy569e2mnsf92gk25av">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val="false"/>
      </w:pPr>
      <w:r>
        <w:rPr>
          <w:b/>
          <w:bCs/>
          <w:rtl w:val="false"/>
        </w:rPr>
        <w:t xml:space="preserve">Drafting note</w:t>
      </w:r>
    </w:p>
    <w:p>
      <w:pPr>
        <w:bidi w:val="false"/>
      </w:pPr>
      <w:r>
        <w:rPr>
          <w:rtl w:val="false"/>
        </w:rPr>
        <w:t xml:space="preserve">Use the name on the ID or in the </w:t>
      </w:r>
      <w:hyperlink w:history="1" r:id="rId1acxpzrqvjoafy_mxo4kb">
        <w:r>
          <w:rPr>
            <w:rStyle w:val="Hyperlink"/>
            <w:rtl w:val="false"/>
          </w:rPr>
          <w:t xml:space="preserve">commercial register</w:t>
        </w:r>
      </w:hyperlink>
      <w:r>
        <w:rPr>
          <w:rtl w:val="false"/>
        </w:rPr>
        <w:t xml:space="preserve">. If a party signs through an agent, identify the power of attorney.</w:t>
      </w:r>
    </w:p>
  </w:comment>
  <w:comment w:id="1" w:initials="Q" w:author="Qanu" w:date="2026-10-17T00:00:00.000Z">
    <w:p>
      <w:pPr>
        <w:bidi w:val="false"/>
      </w:pPr>
      <w:r>
        <w:rPr>
          <w:b/>
          <w:bCs/>
          <w:rtl w:val="false"/>
        </w:rPr>
        <w:t xml:space="preserve">Drafting note</w:t>
      </w:r>
    </w:p>
    <w:p>
      <w:pPr>
        <w:bidi w:val="false"/>
      </w:pPr>
      <w:r>
        <w:rPr>
          <w:rtl w:val="false"/>
        </w:rPr>
        <w:t xml:space="preserve">Describe the facts without words of blame. An admission, if you want one, is its own clause.</w:t>
      </w:r>
    </w:p>
  </w:comment>
  <w:comment w:id="2" w:initials="Q" w:author="Qanu" w:date="2026-10-17T00:00:00.000Z">
    <w:p>
      <w:pPr>
        <w:bidi w:val="false"/>
      </w:pPr>
      <w:r>
        <w:rPr>
          <w:b/>
          <w:bCs/>
          <w:rtl w:val="false"/>
        </w:rPr>
        <w:t xml:space="preserve">Drafting note</w:t>
      </w:r>
    </w:p>
    <w:p>
      <w:pPr>
        <w:bidi w:val="false"/>
      </w:pPr>
      <w:r>
        <w:rPr>
          <w:rtl w:val="false"/>
        </w:rPr>
        <w:t xml:space="preserve">This page states no statutory rule on instalments. If the parties agree instalments, write them in the schedule, then see what Taradhi or the court will accept when the request is filed.</w:t>
      </w:r>
    </w:p>
  </w:comment>
  <w:comment w:id="3" w:initials="Q" w:author="Qanu" w:date="2026-10-17T00:00:00.000Z">
    <w:p>
      <w:pPr>
        <w:bidi w:val="false"/>
      </w:pPr>
      <w:r>
        <w:rPr>
          <w:b/>
          <w:bCs/>
          <w:rtl w:val="false"/>
        </w:rPr>
        <w:t xml:space="preserve">Drafting note</w:t>
      </w:r>
    </w:p>
    <w:p>
      <w:pPr>
        <w:bidi w:val="false"/>
      </w:pPr>
      <w:r>
        <w:rPr>
          <w:rtl w:val="false"/>
        </w:rPr>
        <w:t xml:space="preserve">Don’t leave the notice period blank if you keep the option.</w:t>
      </w:r>
    </w:p>
  </w:comment>
  <w:comment w:id="4" w:initials="Q" w:author="Qanu" w:date="2026-10-17T00:00:00.000Z">
    <w:p>
      <w:pPr>
        <w:bidi w:val="false"/>
      </w:pPr>
      <w:r>
        <w:rPr>
          <w:b/>
          <w:bCs/>
          <w:rtl w:val="false"/>
        </w:rPr>
        <w:t xml:space="preserve">Drafting note</w:t>
      </w:r>
    </w:p>
    <w:p>
      <w:pPr>
        <w:bidi w:val="false"/>
      </w:pPr>
      <w:r>
        <w:rPr>
          <w:rtl w:val="false"/>
        </w:rPr>
        <w:t xml:space="preserve">Keep the release inside the dispute you have described. A release with no subject needs a lawyer before anyone signs.</w:t>
      </w:r>
    </w:p>
  </w:comment>
  <w:comment w:id="5" w:initials="Q" w:author="Qanu" w:date="2026-10-17T00:00:00.000Z">
    <w:p>
      <w:pPr>
        <w:bidi w:val="false"/>
      </w:pPr>
      <w:r>
        <w:rPr>
          <w:b/>
          <w:bCs/>
          <w:rtl w:val="false"/>
        </w:rPr>
        <w:t xml:space="preserve">Drafting note</w:t>
      </w:r>
    </w:p>
    <w:p>
      <w:pPr>
        <w:bidi w:val="false"/>
      </w:pPr>
      <w:r>
        <w:rPr>
          <w:rtl w:val="false"/>
        </w:rPr>
        <w:t xml:space="preserve">The service card says the Conciliation Center certifies the settlement digitally.</w:t>
      </w:r>
      <w:r>
        <w:rPr>
          <w:rtl w:val="false"/>
        </w:rPr>
        <w:t xml:space="preserve"> [1]</w:t>
      </w:r>
      <w:r>
        <w:rPr>
          <w:rtl w:val="false"/>
        </w:rPr>
        <w:t xml:space="preserve"> This page does not say that the signed contract alone is an enforcement instrument, and it does not list disputes that must go to conciliation first.</w:t>
      </w:r>
    </w:p>
  </w:comment>
  <w:comment w:id="6" w:initials="Q" w:author="Qanu" w:date="2026-10-17T00:00:00.000Z">
    <w:p>
      <w:pPr>
        <w:bidi w:val="false"/>
      </w:pPr>
      <w:r>
        <w:rPr>
          <w:b/>
          <w:bCs/>
          <w:rtl w:val="false"/>
        </w:rPr>
        <w:t xml:space="preserve">Drafting note</w:t>
      </w:r>
    </w:p>
    <w:p>
      <w:pPr>
        <w:bidi w:val="false"/>
      </w:pPr>
      <w:r>
        <w:rPr>
          <w:rtl w:val="false"/>
        </w:rPr>
        <w:t xml:space="preserve">Name the forum. For arbitration see </w:t>
      </w:r>
      <w:hyperlink w:history="1" r:id="rIdxfg9etkuyl9zdh8miaahl">
        <w:r>
          <w:rPr>
            <w:rStyle w:val="Hyperlink"/>
            <w:rtl w:val="false"/>
          </w:rPr>
          <w:t xml:space="preserve">arbitration</w:t>
        </w:r>
      </w:hyperlink>
      <w:r>
        <w:rPr>
          <w:rtl w:val="false"/>
        </w:rPr>
        <w:t xml:space="preserve">, and for enforcement see </w:t>
      </w:r>
      <w:hyperlink w:history="1" r:id="rIdnlvp056ufw1--zielppvt">
        <w:r>
          <w:rPr>
            <w:rStyle w:val="Hyperlink"/>
            <w:rtl w:val="false"/>
          </w:rPr>
          <w:t xml:space="preserve">enforcement of judgments</w:t>
        </w:r>
      </w:hyperlink>
      <w:r>
        <w:rPr>
          <w:rtl w:val="false"/>
        </w:rPr>
        <w:t xml:space="preserve">. This template cites no article numbers from Federal Decree-Law No. 25 of 2025.</w:t>
      </w:r>
      <w:r>
        <w:rPr>
          <w:rtl w:val="false"/>
        </w:rPr>
        <w:t xml:space="preserve"> [5]</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17 October 2026 – https://www.qanu.ai/en/templates/settlement-agreement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17 October 2026 – https://www.qanu.ai/en/templates/settlement-agreement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1acxpzrqvjoafy_mxo4kb" Type="http://schemas.openxmlformats.org/officeDocument/2006/relationships/hyperlink" Target="https://www.qanu.ai/en/glossary/commercial-registration" TargetMode="External"/><Relationship Id="rIdxfg9etkuyl9zdh8miaahl" Type="http://schemas.openxmlformats.org/officeDocument/2006/relationships/hyperlink" Target="https://www.qanu.ai/en/glossary/arbitration" TargetMode="External"/><Relationship Id="rIdnlvp056ufw1--zielppvt" Type="http://schemas.openxmlformats.org/officeDocument/2006/relationships/hyperlink" Target="https://www.qanu.ai/en/glossary/enforcement-of-judgments"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auxwshcmcgpywcfjl8orj" Type="http://schemas.openxmlformats.org/officeDocument/2006/relationships/hyperlink" Target="https://www.moj.gov.sa/ar/eServices/pages/03a8864f-8964-4407-bc40-337c69a27b12.aspx" TargetMode="External"/><Relationship Id="rId8l82bi0exad3tase1jzfo" Type="http://schemas.openxmlformats.org/officeDocument/2006/relationships/hyperlink" Target="https://taradhi.moj.gov.sa/" TargetMode="External"/><Relationship Id="rIdkb7chgyoastm9kam88s6o" Type="http://schemas.openxmlformats.org/officeDocument/2006/relationships/hyperlink" Target="https://laws.moj.gov.sa/ar/legislation/PBbHmywh1XMp-Kyv3NtQLg" TargetMode="External"/><Relationship Id="rId3kbvzxdkbqr5a4fyb2zyu" Type="http://schemas.openxmlformats.org/officeDocument/2006/relationships/hyperlink" Target="https://www.qanu.ai/en/glossary/end-of-service-gratuity" TargetMode="External"/><Relationship Id="rIdgw7boxqhtcgxi3e16moui" Type="http://schemas.openxmlformats.org/officeDocument/2006/relationships/hyperlink" Target="https://www.qanu.ai/en/templates/employment-contract" TargetMode="External"/><Relationship Id="rIdolshvhi6pol6f09g9-jdv" Type="http://schemas.openxmlformats.org/officeDocument/2006/relationships/hyperlink" Target="https://creativecommons.org/licenses/by/4.0/deed.en" TargetMode="External"/><Relationship Id="rIdccp6gi5yclmiwr6w9fs6v" Type="http://schemas.openxmlformats.org/officeDocument/2006/relationships/hyperlink" Target="https://www.moj.gov.sa/ar/eServices/pages/03a8864f-8964-4407-bc40-337c69a27b12.aspx" TargetMode="External"/><Relationship Id="rId7crjoz36_ioyzqrk1yzup" Type="http://schemas.openxmlformats.org/officeDocument/2006/relationships/hyperlink" Target="https://taradhi.moj.gov.sa/" TargetMode="External"/><Relationship Id="rId0w9as9wazyspbqycazv-o" Type="http://schemas.openxmlformats.org/officeDocument/2006/relationships/hyperlink" Target="https://najiz.sa/applications/landing" TargetMode="External"/><Relationship Id="rId4dajmdd86ur8lgzq8_fek" Type="http://schemas.openxmlformats.org/officeDocument/2006/relationships/hyperlink" Target="https://laws.moj.gov.sa/ar/legislation/PBbHmywh1XMp-Kyv3NtQLg" TargetMode="External"/><Relationship Id="rIdyklrfgzgt-akkahpf_cqo" Type="http://schemas.openxmlformats.org/officeDocument/2006/relationships/hyperlink" Target="https://uaelegislation.gov.ae/en/legislations/4011" TargetMode="External"/><Relationship Id="rIdhxyy569e2mnsf92gk25av" Type="http://schemas.openxmlformats.org/officeDocument/2006/relationships/hyperlink" Target="https://u.ae/en/information-and-services/justice-safety-and-the-law/Law/how-are-uae-laws-issued-and-how-to-find-them/where-to-find-uae-federal-laws"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agreement template (commercial and civil disputes)</dc:title>
  <dc:creator>Qanu</dc:creator>
  <cp:keywords>Settlement, Taradhi, Release,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dc:description>
  <cp:lastModifiedBy>Qanu</cp:lastModifiedBy>
  <cp:revision>1</cp:revision>
  <dcterms:created xsi:type="dcterms:W3CDTF">2026-10-17T19:21:01.666Z</dcterms:created>
  <dcterms:modified xsi:type="dcterms:W3CDTF">2026-10-17T19:21:01.666Z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https://www.qanu.ai/en/templates/settlement-agreement</vt:lpwstr>
  </property>
</Properties>
</file>