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الشفعة والقيد قد يسبقان إتمام البيع.</w:t>
      </w:r>
      <w:r>
        <w:rPr>
          <w:rtl/>
        </w:rPr>
        <w:t xml:space="preserve"> يجوز للشريك التنازل لشريك آخر وفق عقد التأسيس. وإذا كان التنازل لغير الشريك يُشعر المدير الشركاء، ولكل شريك استرداد الحصة خلال ثلاثين يوماً، ويُعيَّن خبير عند الخلاف على الثمن.</w:t>
      </w:r>
      <w:r>
        <w:rPr>
          <w:rtl/>
        </w:rPr>
        <w:t xml:space="preserve"> [1]</w:t>
      </w:r>
      <w:r>
        <w:rPr>
          <w:rtl/>
        </w:rPr>
        <w:t xml:space="preserve"> وخطوات القيد أو التوثيق تختلف بين دولة وأخرى. لا رسم ولا ميعاد في هذا الملف. وفي الإمارات نقل الحصص والشفعة قيد المراجعة.</w:t>
      </w:r>
      <w:r>
        <w:rPr>
          <w:rtl/>
        </w:rPr>
        <w:t xml:space="preserve"> [2]</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نظام الشركات: </w:t>
      </w:r>
      <w:hyperlink w:history="1" r:id="rIdzafwnz7mitz3ezn3z3byc">
        <w:r>
          <w:rPr>
            <w:rStyle w:val="Hyperlink"/>
            <w:sz w:val="17"/>
            <w:szCs w:val="17"/>
          </w:rPr>
          <w:t xml:space="preserve">‪https://laws.boe.gov.sa/BoeLaws/Laws/LawDetails/a8376aea-1bc3-49d4-9027-aed900b555af/1‬</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قانون الشركات الإماراتي: </w:t>
      </w:r>
      <w:hyperlink w:history="1" r:id="rIdzpvep-gvufqqc0zler3ly">
        <w:r>
          <w:rPr>
            <w:rStyle w:val="Hyperlink"/>
            <w:sz w:val="17"/>
            <w:szCs w:val="17"/>
          </w:rPr>
          <w:t xml:space="preserve">‪https://u.ae/en/information-and-services/business/Doing-business/doing-business-on-the-mainland/full-foreign-ownership-of-commercial-companies‬</w:t>
        </w:r>
      </w:hyperlink>
    </w:p>
    <w:p>
      <w:pPr>
        <w:bidi/>
        <w:spacing w:after="240"/>
      </w:pPr>
    </w:p>
    <w:p>
      <w:pPr>
        <w:pStyle w:val="Title"/>
        <w:bidi/>
      </w:pPr>
      <w:r>
        <w:rPr>
          <w:rtl/>
        </w:rPr>
        <w:t xml:space="preserve">عقد تنازل عن حصص</w:t>
      </w:r>
    </w:p>
    <w:p>
      <w:pPr>
        <w:bidi/>
        <w:spacing w:after="240"/>
      </w:pPr>
      <w:r>
        <w:rPr>
          <w:color w:val="444444"/>
          <w:rtl/>
        </w:rPr>
        <w:t xml:space="preserve">بيع أو نقل حصص في شركة ذات مسؤولية محدودة في دول الخليج.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 هذه نقطة انطلاق، وتُراجع من محامٍ مرخّص في الدولة المعنية قبل الاستعمال.</w:t>
      </w:r>
    </w:p>
    <w:p>
      <w:pPr>
        <w:pStyle w:val="Heading1"/>
        <w:bidi/>
      </w:pPr>
      <w:r>
        <w:rPr>
          <w:rtl/>
        </w:rPr>
        <w:t xml:space="preserve">البند (1): الأطراف والشركة</w:t>
      </w:r>
    </w:p>
    <w:p>
      <w:pPr>
        <w:bidi/>
      </w:pPr>
      <w:r>
        <w:rPr>
          <w:rtl/>
        </w:rPr>
        <w:t xml:space="preserve">حُرر في </w:t>
      </w:r>
      <w:r>
        <w:rPr>
          <w:highlight w:val="yellow"/>
          <w:rtl/>
        </w:rPr>
        <w:t xml:space="preserve">[</w:t>
      </w:r>
      <w:r>
        <w:rPr>
          <w:highlight w:val="yellow"/>
          <w:rtl/>
        </w:rPr>
        <w:t xml:space="preserve">التاريخ</w:t>
      </w:r>
      <w:r>
        <w:rPr>
          <w:highlight w:val="yellow"/>
          <w:rtl/>
        </w:rPr>
        <w:t xml:space="preserve">]</w:t>
      </w:r>
      <w:r>
        <w:rPr>
          <w:rtl/>
        </w:rPr>
        <w:t xml:space="preserve"> بين </w:t>
      </w:r>
      <w:r>
        <w:rPr>
          <w:highlight w:val="yellow"/>
          <w:rtl/>
        </w:rPr>
        <w:t xml:space="preserve">[</w:t>
      </w:r>
      <w:r>
        <w:rPr>
          <w:highlight w:val="yellow"/>
          <w:rtl/>
        </w:rPr>
        <w:t xml:space="preserve">البائع</w:t>
      </w:r>
      <w:r>
        <w:rPr>
          <w:highlight w:val="yellow"/>
          <w:rtl/>
        </w:rPr>
        <w:t xml:space="preserve">]</w:t>
      </w:r>
      <w:r>
        <w:rPr>
          <w:rtl/>
        </w:rPr>
        <w:t xml:space="preserve"> («البائع») و</w:t>
      </w:r>
      <w:r>
        <w:rPr>
          <w:highlight w:val="yellow"/>
          <w:rtl/>
        </w:rPr>
        <w:t xml:space="preserve">[</w:t>
      </w:r>
      <w:r>
        <w:rPr>
          <w:highlight w:val="yellow"/>
          <w:rtl/>
        </w:rPr>
        <w:t xml:space="preserve">المشتري</w:t>
      </w:r>
      <w:r>
        <w:rPr>
          <w:highlight w:val="yellow"/>
          <w:rtl/>
        </w:rPr>
        <w:t xml:space="preserve">]</w:t>
      </w:r>
      <w:r>
        <w:rPr>
          <w:rtl/>
        </w:rPr>
        <w:t xml:space="preserve"> («المشتري»). والشركة: </w:t>
      </w:r>
      <w:r>
        <w:rPr>
          <w:highlight w:val="yellow"/>
          <w:rtl/>
        </w:rPr>
        <w:t xml:space="preserve">[</w:t>
      </w:r>
      <w:r>
        <w:rPr>
          <w:highlight w:val="yellow"/>
          <w:rtl/>
        </w:rPr>
        <w:t xml:space="preserve">اسم الشركة</w:t>
      </w:r>
      <w:r>
        <w:rPr>
          <w:highlight w:val="yellow"/>
          <w:rtl/>
        </w:rPr>
        <w:t xml:space="preserve">]</w:t>
      </w:r>
      <w:r>
        <w:rPr>
          <w:rtl/>
        </w:rPr>
        <w:t xml:space="preserve"> ذات مسؤولية محدودة، سجل </w:t>
      </w:r>
      <w:r>
        <w:rPr>
          <w:highlight w:val="yellow"/>
          <w:rtl/>
        </w:rPr>
        <w:t xml:space="preserve">[</w:t>
      </w:r>
      <w:r>
        <w:rPr>
          <w:highlight w:val="yellow"/>
          <w:rtl/>
        </w:rPr>
        <w:t xml:space="preserve">●</w:t>
      </w:r>
      <w:r>
        <w:rPr>
          <w:highlight w:val="yellow"/>
          <w:rtl/>
        </w:rPr>
        <w:t xml:space="preserve">]</w:t>
      </w:r>
      <w:r>
        <w:rPr>
          <w:rtl/>
        </w:rPr>
        <w:t xml:space="preserve">، رأس المال </w:t>
      </w:r>
      <w:r>
        <w:rPr>
          <w:highlight w:val="yellow"/>
          <w:rtl/>
        </w:rPr>
        <w:t xml:space="preserve">[</w:t>
      </w:r>
      <w:r>
        <w:rPr>
          <w:highlight w:val="yellow"/>
          <w:rtl/>
        </w:rPr>
        <w:t xml:space="preserve">●</w:t>
      </w:r>
      <w:r>
        <w:rPr>
          <w:highlight w:val="yellow"/>
          <w:rtl/>
        </w:rPr>
        <w:t xml:space="preserve">]</w:t>
      </w:r>
      <w:r>
        <w:rPr>
          <w:rtl/>
        </w:rPr>
        <w:t xml:space="preserve"> («الشركة»).</w:t>
      </w:r>
    </w:p>
    <w:p>
      <w:pPr>
        <w:pStyle w:val="Heading1"/>
        <w:bidi/>
      </w:pPr>
      <w:r>
        <w:rPr>
          <w:rtl/>
        </w:rPr>
        <w:t xml:space="preserve">البند (2): الحصص المتنازل عنها</w:t>
      </w:r>
    </w:p>
    <w:p>
      <w:pPr>
        <w:bidi/>
      </w:pPr>
      <w:r>
        <w:rPr>
          <w:rtl/>
        </w:rPr>
        <w:t xml:space="preserve">يتنازل البائع للمشتري عن </w:t>
      </w:r>
      <w:r>
        <w:rPr>
          <w:highlight w:val="yellow"/>
          <w:rtl/>
        </w:rPr>
        <w:t xml:space="preserve">[</w:t>
      </w:r>
      <w:r>
        <w:rPr>
          <w:highlight w:val="yellow"/>
          <w:rtl/>
        </w:rPr>
        <w:t xml:space="preserve">●</w:t>
      </w:r>
      <w:r>
        <w:rPr>
          <w:highlight w:val="yellow"/>
          <w:rtl/>
        </w:rPr>
        <w:t xml:space="preserve">]</w:t>
      </w:r>
      <w:r>
        <w:rPr>
          <w:rtl/>
        </w:rPr>
        <w:t xml:space="preserve"> حصة/حصص، تمثل </w:t>
      </w:r>
      <w:r>
        <w:rPr>
          <w:highlight w:val="yellow"/>
          <w:rtl/>
        </w:rPr>
        <w:t xml:space="preserve">[</w:t>
      </w:r>
      <w:r>
        <w:rPr>
          <w:highlight w:val="yellow"/>
          <w:rtl/>
        </w:rPr>
        <w:t xml:space="preserve">●</w:t>
      </w:r>
      <w:r>
        <w:rPr>
          <w:highlight w:val="yellow"/>
          <w:rtl/>
        </w:rPr>
        <w:t xml:space="preserve">]</w:t>
      </w:r>
      <w:r>
        <w:rPr>
          <w:rtl/>
        </w:rPr>
        <w:t xml:space="preserve">% من رأس المال، برقم/أرقام </w:t>
      </w:r>
      <w:r>
        <w:rPr>
          <w:highlight w:val="yellow"/>
          <w:rtl/>
        </w:rPr>
        <w:t xml:space="preserve">[</w:t>
      </w:r>
      <w:r>
        <w:rPr>
          <w:highlight w:val="yellow"/>
          <w:rtl/>
        </w:rPr>
        <w:t xml:space="preserve">●</w:t>
      </w:r>
      <w:r>
        <w:rPr>
          <w:highlight w:val="yellow"/>
          <w:rtl/>
        </w:rPr>
        <w:t xml:space="preserve">]</w:t>
      </w:r>
      <w:r>
        <w:rPr>
          <w:rtl/>
        </w:rPr>
        <w:t xml:space="preserve"> في سجل الشركاء.</w:t>
      </w:r>
    </w:p>
    <w:p>
      <w:pPr>
        <w:pStyle w:val="Heading1"/>
        <w:bidi/>
      </w:pPr>
      <w:r>
        <w:rPr>
          <w:rtl/>
        </w:rPr>
        <w:t xml:space="preserve">البند (3): الثمن والسداد</w:t>
      </w:r>
    </w:p>
    <w:p>
      <w:pPr>
        <w:bidi/>
      </w:pPr>
      <w:r>
        <w:rPr>
          <w:rtl/>
        </w:rPr>
        <w:t xml:space="preserve">الثمن الإجمالي </w:t>
      </w:r>
      <w:r>
        <w:rPr>
          <w:highlight w:val="yellow"/>
          <w:rtl/>
        </w:rPr>
        <w:t xml:space="preserve">[</w:t>
      </w:r>
      <w:r>
        <w:rPr>
          <w:highlight w:val="yellow"/>
          <w:rtl/>
        </w:rPr>
        <w:t xml:space="preserve">●</w:t>
      </w:r>
      <w:r>
        <w:rPr>
          <w:highlight w:val="yellow"/>
          <w:rtl/>
        </w:rPr>
        <w:t xml:space="preserve">]</w:t>
      </w:r>
      <w:r>
        <w:rPr>
          <w:rtl/>
        </w:rPr>
        <w:t xml:space="preserve"> </w:t>
      </w:r>
      <w:r>
        <w:rPr>
          <w:highlight w:val="yellow"/>
          <w:rtl/>
        </w:rPr>
        <w:t xml:space="preserve">[</w:t>
      </w:r>
      <w:r>
        <w:rPr>
          <w:highlight w:val="yellow"/>
          <w:rtl/>
        </w:rPr>
        <w:t xml:space="preserve">رقماً وكتابة</w:t>
      </w:r>
      <w:r>
        <w:rPr>
          <w:highlight w:val="yellow"/>
          <w:rtl/>
        </w:rPr>
        <w:t xml:space="preserve">]</w:t>
      </w:r>
      <w:r>
        <w:rPr>
          <w:rtl/>
        </w:rPr>
        <w:t xml:space="preserve">. والسداد: </w:t>
      </w:r>
      <w:r>
        <w:rPr>
          <w:highlight w:val="yellow"/>
          <w:rtl/>
        </w:rPr>
        <w:t xml:space="preserve">[</w:t>
      </w:r>
      <w:r>
        <w:rPr>
          <w:highlight w:val="yellow"/>
          <w:rtl/>
        </w:rPr>
        <w:t xml:space="preserve">دفعة واحدة / أقساط</w:t>
      </w:r>
      <w:r>
        <w:rPr>
          <w:highlight w:val="yellow"/>
          <w:rtl/>
        </w:rPr>
        <w:t xml:space="preserve">]</w:t>
      </w:r>
      <w:r>
        <w:rPr>
          <w:rtl/>
        </w:rPr>
        <w:t xml:space="preserve"> في </w:t>
      </w:r>
      <w:r>
        <w:rPr>
          <w:highlight w:val="yellow"/>
          <w:rtl/>
        </w:rPr>
        <w:t xml:space="preserve">[</w:t>
      </w:r>
      <w:r>
        <w:rPr>
          <w:highlight w:val="yellow"/>
          <w:rtl/>
        </w:rPr>
        <w:t xml:space="preserve">●</w:t>
      </w:r>
      <w:r>
        <w:rPr>
          <w:highlight w:val="yellow"/>
          <w:rtl/>
        </w:rPr>
        <w:t xml:space="preserve">]</w:t>
      </w:r>
      <w:r>
        <w:rPr>
          <w:rtl/>
        </w:rPr>
        <w:t xml:space="preserve">. ولا تُثبَّت نسبة ضريبة في هذا الملف.</w:t>
      </w:r>
    </w:p>
    <w:p>
      <w:pPr>
        <w:pStyle w:val="Heading1"/>
        <w:bidi/>
      </w:pPr>
      <w:commentRangeStart w:id="0"/>
      <w:r>
        <w:rPr>
          <w:rtl/>
        </w:rPr>
        <w:t xml:space="preserve">البند (4): شروط الإغلاق</w:t>
      </w:r>
      <w:commentRangeEnd w:id="0"/>
      <w:r>
        <w:rPr>
          <w:rtl/>
        </w:rPr>
        <w:commentReference w:id="0"/>
      </w:r>
    </w:p>
    <w:p>
      <w:pPr>
        <w:bidi/>
      </w:pPr>
      <w:r>
        <w:rPr>
          <w:rtl/>
        </w:rPr>
        <w:t xml:space="preserve">يُتم الإغلاق عند </w:t>
      </w:r>
      <w:r>
        <w:rPr>
          <w:highlight w:val="yellow"/>
          <w:rtl/>
        </w:rPr>
        <w:t xml:space="preserve">[</w:t>
      </w:r>
      <w:r>
        <w:rPr>
          <w:highlight w:val="yellow"/>
          <w:rtl/>
        </w:rPr>
        <w:t xml:space="preserve">●</w:t>
      </w:r>
      <w:r>
        <w:rPr>
          <w:highlight w:val="yellow"/>
          <w:rtl/>
        </w:rPr>
        <w:t xml:space="preserve">]</w:t>
      </w:r>
      <w:r>
        <w:rPr>
          <w:rtl/>
        </w:rPr>
        <w:t xml:space="preserve"> بعد استيفاء: </w:t>
      </w:r>
      <w:r>
        <w:rPr>
          <w:highlight w:val="yellow"/>
          <w:rtl/>
        </w:rPr>
        <w:t xml:space="preserve">[</w:t>
      </w:r>
      <w:r>
        <w:rPr>
          <w:highlight w:val="yellow"/>
          <w:rtl/>
        </w:rPr>
        <w:t xml:space="preserve">قرار الشركاء إن لزم / إشعار الشفعة / موافقة الجهة</w:t>
      </w:r>
      <w:r>
        <w:rPr>
          <w:highlight w:val="yellow"/>
          <w:rtl/>
        </w:rPr>
        <w:t xml:space="preserve">]</w:t>
      </w:r>
      <w:r>
        <w:rPr>
          <w:rtl/>
        </w:rPr>
        <w:t xml:space="preserve">. ويُحال إلى </w:t>
      </w:r>
      <w:hyperlink w:history="1" r:id="rIdde9db-tdnxdoao2wjwlal">
        <w:r>
          <w:rPr>
            <w:rStyle w:val="Hyperlink"/>
            <w:rtl/>
          </w:rPr>
          <w:t xml:space="preserve">نموذج قرار الشركاء</w:t>
        </w:r>
      </w:hyperlink>
      <w:r>
        <w:rPr>
          <w:rtl/>
        </w:rPr>
        <w:t xml:space="preserve"> إن احتاج الأمر قراراً.</w:t>
      </w:r>
    </w:p>
    <w:p>
      <w:pPr>
        <w:pStyle w:val="Heading1"/>
        <w:bidi/>
      </w:pPr>
      <w:r>
        <w:rPr>
          <w:rtl/>
        </w:rPr>
        <w:t xml:space="preserve">البند (5): إقرارات البائع</w:t>
      </w:r>
    </w:p>
    <w:p>
      <w:pPr>
        <w:bidi/>
      </w:pPr>
      <w:r>
        <w:rPr>
          <w:rtl/>
        </w:rPr>
        <w:t xml:space="preserve">يقر البائع بأنه مالك الحصص حراً من أي رهن أو حجز معلوم له، وأن التنازل لا يخالف عقد التأسيس إلا إذا استوفى الشروط المذكورة.</w:t>
      </w:r>
    </w:p>
    <w:p>
      <w:pPr>
        <w:pStyle w:val="Heading1"/>
        <w:bidi/>
      </w:pPr>
      <w:r>
        <w:rPr>
          <w:rtl/>
        </w:rPr>
        <w:t xml:space="preserve">البند (6): القيد والتوثيق</w:t>
      </w:r>
    </w:p>
    <w:p>
      <w:pPr>
        <w:bidi/>
      </w:pPr>
      <w:r>
        <w:rPr>
          <w:rtl/>
        </w:rPr>
        <w:t xml:space="preserve">يتعاون الطرفان على إجراءات القيد أو التوثيق لدى </w:t>
      </w:r>
      <w:r>
        <w:rPr>
          <w:highlight w:val="yellow"/>
          <w:rtl/>
        </w:rPr>
        <w:t xml:space="preserve">[</w:t>
      </w:r>
      <w:r>
        <w:rPr>
          <w:highlight w:val="yellow"/>
          <w:rtl/>
        </w:rPr>
        <w:t xml:space="preserve">جهة السجل / كاتب العدل / المنصة</w:t>
      </w:r>
      <w:r>
        <w:rPr>
          <w:highlight w:val="yellow"/>
          <w:rtl/>
        </w:rPr>
        <w:t xml:space="preserve">]</w:t>
      </w:r>
      <w:r>
        <w:rPr>
          <w:rtl/>
        </w:rPr>
        <w:t xml:space="preserve"> في </w:t>
      </w:r>
      <w:r>
        <w:rPr>
          <w:highlight w:val="yellow"/>
          <w:rtl/>
        </w:rPr>
        <w:t xml:space="preserve">[</w:t>
      </w:r>
      <w:r>
        <w:rPr>
          <w:highlight w:val="yellow"/>
          <w:rtl/>
        </w:rPr>
        <w:t xml:space="preserve">●</w:t>
      </w:r>
      <w:r>
        <w:rPr>
          <w:highlight w:val="yellow"/>
          <w:rtl/>
        </w:rPr>
        <w:t xml:space="preserve">]</w:t>
      </w:r>
      <w:r>
        <w:rPr>
          <w:rtl/>
        </w:rPr>
        <w:t xml:space="preserve">. ولا تذكر هذه الصفحة رسوماً أو مواعيداً.</w:t>
      </w:r>
    </w:p>
    <w:p>
      <w:pPr>
        <w:pStyle w:val="Heading1"/>
        <w:bidi/>
      </w:pPr>
      <w:r>
        <w:rPr>
          <w:rtl/>
        </w:rPr>
        <w:t xml:space="preserve">البند (7): المستفيد الحقيقي</w:t>
      </w:r>
    </w:p>
    <w:p>
      <w:pPr>
        <w:bidi/>
      </w:pPr>
      <w:r>
        <w:rPr>
          <w:rtl/>
        </w:rPr>
        <w:t xml:space="preserve">يتعهد الطرفان بالإفصاح عن </w:t>
      </w:r>
      <w:hyperlink w:history="1" r:id="rIdzhhocgr5qf7ajgqxnvo6w">
        <w:r>
          <w:rPr>
            <w:rStyle w:val="Hyperlink"/>
            <w:rtl/>
          </w:rPr>
          <w:t xml:space="preserve">المستفيد الحقيقي</w:t>
        </w:r>
      </w:hyperlink>
      <w:r>
        <w:rPr>
          <w:rtl/>
        </w:rPr>
        <w:t xml:space="preserve"> وفق النظام النافذ في الدولة.</w:t>
      </w:r>
    </w:p>
    <w:p>
      <w:pPr>
        <w:pStyle w:val="Heading1"/>
        <w:bidi/>
      </w:pPr>
      <w:r>
        <w:rPr>
          <w:rtl/>
        </w:rPr>
        <w:t xml:space="preserve">البند (8): القانون والنزاع</w:t>
      </w:r>
    </w:p>
    <w:p>
      <w:pPr>
        <w:bidi/>
      </w:pPr>
      <w:r>
        <w:rPr>
          <w:rtl/>
        </w:rPr>
        <w:t xml:space="preserve">يخضع لقوانين </w:t>
      </w:r>
      <w:r>
        <w:rPr>
          <w:highlight w:val="yellow"/>
          <w:rtl/>
        </w:rPr>
        <w:t xml:space="preserve">[</w:t>
      </w:r>
      <w:r>
        <w:rPr>
          <w:highlight w:val="yellow"/>
          <w:rtl/>
        </w:rPr>
        <w:t xml:space="preserve">●</w:t>
      </w:r>
      <w:r>
        <w:rPr>
          <w:highlight w:val="yellow"/>
          <w:rtl/>
        </w:rPr>
        <w:t xml:space="preserve">]</w:t>
      </w:r>
      <w:r>
        <w:rPr>
          <w:rtl/>
        </w:rPr>
        <w:t xml:space="preserve"> ومحاكم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r>
        <w:rPr>
          <w:rtl/>
        </w:rPr>
        <w:t xml:space="preserve">البند (9): التوقيع</w:t>
      </w:r>
    </w:p>
    <w:p>
      <w:pPr>
        <w:bidi/>
      </w:pPr>
      <w:r>
        <w:rPr>
          <w:rtl/>
        </w:rPr>
        <w:t xml:space="preserve">التوقيع: البائع </w:t>
      </w:r>
      <w:r>
        <w:rPr>
          <w:highlight w:val="yellow"/>
          <w:rtl/>
        </w:rPr>
        <w:t xml:space="preserve">[</w:t>
      </w:r>
      <w:r>
        <w:rPr>
          <w:highlight w:val="yellow"/>
          <w:rtl/>
        </w:rPr>
        <w:t xml:space="preserve">●</w:t>
      </w:r>
      <w:r>
        <w:rPr>
          <w:highlight w:val="yellow"/>
          <w:rtl/>
        </w:rPr>
        <w:t xml:space="preserve">]</w:t>
      </w:r>
      <w:r>
        <w:rPr>
          <w:rtl/>
        </w:rPr>
        <w:t xml:space="preserve">، المشتري </w:t>
      </w:r>
      <w:r>
        <w:rPr>
          <w:highlight w:val="yellow"/>
          <w:rtl/>
        </w:rPr>
        <w:t xml:space="preserve">[</w:t>
      </w:r>
      <w:r>
        <w:rPr>
          <w:highlight w:val="yellow"/>
          <w:rtl/>
        </w:rPr>
        <w:t xml:space="preserve">●</w:t>
      </w:r>
      <w:r>
        <w:rPr>
          <w:highlight w:val="yellow"/>
          <w:rtl/>
        </w:rPr>
        <w:t xml:space="preserve">]</w:t>
      </w:r>
      <w:r>
        <w:rPr>
          <w:rtl/>
        </w:rPr>
        <w:t xml:space="preserve">، والشركة إن لزم </w:t>
      </w:r>
      <w:r>
        <w:rPr>
          <w:highlight w:val="yellow"/>
          <w:rtl/>
        </w:rPr>
        <w:t xml:space="preserve">[</w:t>
      </w:r>
      <w:r>
        <w:rPr>
          <w:highlight w:val="yellow"/>
          <w:rtl/>
        </w:rPr>
        <w:t xml:space="preserve">●</w:t>
      </w:r>
      <w:r>
        <w:rPr>
          <w:highlight w:val="yellow"/>
          <w:rtl/>
        </w:rPr>
        <w:t xml:space="preserve">]</w:t>
      </w:r>
      <w:r>
        <w:rPr>
          <w:rtl/>
        </w:rPr>
        <w:t xml:space="preserve">.</w:t>
      </w:r>
    </w:p>
    <w:p>
      <w:pPr>
        <w:pStyle w:val="Heading1"/>
        <w:pageBreakBefore/>
        <w:bidi/>
      </w:pPr>
      <w:r>
        <w:rPr>
          <w:rtl/>
        </w:rPr>
        <w:t xml:space="preserve">ملاحظات عن المملكة العربية السعودية</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التنازل</w:t>
            </w:r>
          </w:p>
        </w:tc>
        <w:tc>
          <w:tcPr>
            <w:tcMar>
              <w:top w:type="dxa" w:w="80"/>
              <w:left w:type="dxa" w:w="100"/>
              <w:bottom w:type="dxa" w:w="80"/>
              <w:right w:type="dxa" w:w="100"/>
            </w:tcMar>
          </w:tcPr>
          <w:p>
            <w:pPr>
              <w:bidi/>
              <w:spacing w:after="0"/>
            </w:pPr>
            <w:r>
              <w:rPr>
                <w:b w:val="false"/>
                <w:sz w:val="18"/>
                <w:szCs w:val="18"/>
                <w:rtl/>
              </w:rPr>
              <w:t xml:space="preserve">يجوز للشريك التنازل لشريك آخر وفق عقد التأسيس. وإذا كان التنازل لغير الشريك يُشعر المدير الشركاء، ولكل شريك استرداد الحصة خلال ثلاثين يوماً، ويُعيَّن خبير عند الخلاف على الثمن (المادة الثامنة عشرة بعد المائة).</w:t>
            </w:r>
            <w:r>
              <w:rPr>
                <w:b w:val="false"/>
                <w:sz w:val="18"/>
                <w:szCs w:val="18"/>
                <w:rtl/>
              </w:rPr>
              <w:t xml:space="preserve"> [1]</w:t>
            </w:r>
          </w:p>
        </w:tc>
      </w:tr>
    </w:tbl>
    <w:p>
      <w:pPr>
        <w:bidi/>
      </w:pPr>
    </w:p>
    <w:p>
      <w:pPr>
        <w:pStyle w:val="Heading1"/>
        <w:pageBreakBefore/>
        <w:bidi/>
      </w:pPr>
      <w:r>
        <w:rPr>
          <w:rtl/>
        </w:rPr>
        <w:t xml:space="preserve">ملاحظات عن الإمارات العربية المتحدة</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النص</w:t>
            </w:r>
          </w:p>
        </w:tc>
      </w:tr>
      <w:tr>
        <w:trPr>
          <w:cantSplit/>
        </w:trPr>
        <w:tc>
          <w:tcPr>
            <w:tcMar>
              <w:top w:type="dxa" w:w="80"/>
              <w:left w:type="dxa" w:w="100"/>
              <w:bottom w:type="dxa" w:w="80"/>
              <w:right w:type="dxa" w:w="100"/>
            </w:tcMar>
          </w:tcPr>
          <w:p>
            <w:pPr>
              <w:bidi/>
              <w:spacing w:after="0"/>
            </w:pPr>
            <w:r>
              <w:rPr>
                <w:b w:val="false"/>
                <w:sz w:val="18"/>
                <w:szCs w:val="18"/>
                <w:rtl/>
              </w:rPr>
              <w:t xml:space="preserve">نقل الحصص والشفعة</w:t>
            </w:r>
          </w:p>
        </w:tc>
        <w:tc>
          <w:tcPr>
            <w:tcMar>
              <w:top w:type="dxa" w:w="80"/>
              <w:left w:type="dxa" w:w="100"/>
              <w:bottom w:type="dxa" w:w="80"/>
              <w:right w:type="dxa" w:w="100"/>
            </w:tcMar>
          </w:tcPr>
          <w:p>
            <w:pPr>
              <w:bidi/>
              <w:spacing w:after="0"/>
            </w:pPr>
            <w:r>
              <w:rPr>
                <w:b w:val="false"/>
                <w:sz w:val="18"/>
                <w:szCs w:val="18"/>
                <w:rtl/>
              </w:rPr>
              <w:t xml:space="preserve">قيد المراجعة. لا رقم مادة في هذا الملف.</w:t>
            </w:r>
            <w:r>
              <w:rPr>
                <w:b w:val="false"/>
                <w:sz w:val="18"/>
                <w:szCs w:val="18"/>
                <w:rtl/>
              </w:rPr>
              <w:t xml:space="preserve"> [2]</w:t>
            </w:r>
          </w:p>
        </w:tc>
      </w:tr>
    </w:tbl>
    <w:p>
      <w:pPr>
        <w:bidi/>
      </w:pPr>
    </w:p>
    <w:p>
      <w:pPr>
        <w:pStyle w:val="Heading1"/>
        <w:bidi/>
      </w:pPr>
      <w:r>
        <w:rPr>
          <w:rtl/>
        </w:rPr>
        <w:t xml:space="preserve">قطر والبحرين والكويت وسلطنة عُمان</w:t>
      </w:r>
    </w:p>
    <w:p>
      <w:pPr>
        <w:pStyle w:val="ListParagraph"/>
        <w:numPr>
          <w:ilvl w:val="0"/>
          <w:numId w:val="2"/>
        </w:numPr>
        <w:bidi/>
      </w:pPr>
      <w:r>
        <w:rPr>
          <w:rtl/>
        </w:rPr>
        <w:t xml:space="preserve">قطر: قيد المراجعة. لا رقم مادة.</w:t>
      </w:r>
    </w:p>
    <w:p>
      <w:pPr>
        <w:pStyle w:val="ListParagraph"/>
        <w:numPr>
          <w:ilvl w:val="0"/>
          <w:numId w:val="2"/>
        </w:numPr>
        <w:bidi/>
      </w:pPr>
      <w:r>
        <w:rPr>
          <w:rtl/>
        </w:rPr>
        <w:t xml:space="preserve">البحرين: قيد المراجعة. لا رقم مادة.</w:t>
      </w:r>
    </w:p>
    <w:p>
      <w:pPr>
        <w:pStyle w:val="ListParagraph"/>
        <w:numPr>
          <w:ilvl w:val="0"/>
          <w:numId w:val="2"/>
        </w:numPr>
        <w:bidi/>
      </w:pPr>
      <w:r>
        <w:rPr>
          <w:rtl/>
        </w:rPr>
        <w:t xml:space="preserve">الكويت: قيد المراجعة. لا رقم مادة.</w:t>
      </w:r>
    </w:p>
    <w:p>
      <w:pPr>
        <w:pStyle w:val="ListParagraph"/>
        <w:numPr>
          <w:ilvl w:val="0"/>
          <w:numId w:val="2"/>
        </w:numPr>
        <w:bidi/>
      </w:pPr>
      <w:r>
        <w:rPr>
          <w:rtl/>
        </w:rPr>
        <w:t xml:space="preserve">سلطنة عُمان: قيد المراجعة. لا رقم مادة.</w:t>
      </w: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eh2vihxq7ckeertzxsgqk">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‪https://www.qanu.ai/ar/نماذج/نموذج-تنازل-عن-حصص‬ · آخر مراجعة: 22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نظام الشركات، الصادر بالمرسوم الملكي رقم (م/132) وتاريخ 1443/12/1هـ </w:t>
      </w:r>
      <w:hyperlink w:history="1" r:id="rIdrn7aob03zvidofczqvt16">
        <w:r>
          <w:rPr>
            <w:rStyle w:val="Hyperlink"/>
            <w:sz w:val="16"/>
            <w:szCs w:val="16"/>
          </w:rPr>
          <w:t xml:space="preserve">https://laws.boe.gov.sa/BoeLaws/Laws/LawDetails/a8376aea-1bc3-49d4-9027-aed900b555af/1</w:t>
        </w:r>
      </w:hyperlink>
    </w:p>
    <w:p>
      <w:pPr>
        <w:bidi/>
        <w:ind w:start="360" w:hanging="360"/>
      </w:pPr>
      <w:r>
        <w:rPr>
          <w:sz w:val="18"/>
          <w:szCs w:val="18"/>
          <w:rtl/>
        </w:rPr>
        <w:t xml:space="preserve">[2] البوابة الرسمية لحكومة الإمارات (u.ae)، قانون الشركات التجارية (مرسوم بقانون اتحادي رقم 32 لسنة 2021) </w:t>
      </w:r>
      <w:hyperlink w:history="1" r:id="rIdtl5rfkzvn4e3dtz9qvqxq">
        <w:r>
          <w:rPr>
            <w:rStyle w:val="Hyperlink"/>
            <w:sz w:val="16"/>
            <w:szCs w:val="16"/>
          </w:rPr>
          <w:t xml:space="preserve">https://u.ae/en/information-and-services/business/Doing-business/doing-business-on-the-mainland/full-foreign-ownership-of-commercial-companies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2T00:00:00.000Z">
    <w:p>
      <w:pPr>
        <w:bidi/>
      </w:pPr>
      <w:r>
        <w:rPr>
          <w:b/>
          <w:bCs/>
          <w:rtl/>
        </w:rPr>
        <w:t xml:space="preserve">ملاحظة صياغة</w:t>
      </w:r>
    </w:p>
    <w:p>
      <w:pPr>
        <w:bidi/>
      </w:pPr>
      <w:r>
        <w:rPr>
          <w:rtl/>
        </w:rPr>
        <w:t xml:space="preserve">في السعودية إشعار الشفعة يُدار وفق المادة الثامنة عشرة بعد المائة قبل إتمام البيع لغير الشريك.</w:t>
      </w:r>
      <w:r>
        <w:rPr>
          <w:rtl/>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5D23F429-1984-963D-C115-673779E99CD4}"/>
    <w:embedBold r:id="rId2" w:fontKey="{7C3E9E5C-0553-0A61-63DB-D5BE50448A1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22 أكتوبر 2026 – ‪https://www.qanu.ai/ar/نماذج/نموذج-تنازل-عن-حصص‬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22 أكتوبر 2026 – ‪https://www.qanu.ai/ar/نماذج/نموذج-تنازل-عن-حصص‬</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 w:numId="2">
    <w:abstractNumId w:val="2"/>
    <w:lvlOverride w:ilvl="0">
      <w:startOverride w:val="1"/>
    </w:lvlOverride>
    <w:lvlOverride w:ilvl="1">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zafwnz7mitz3ezn3z3byc" Type="http://schemas.openxmlformats.org/officeDocument/2006/relationships/hyperlink" Target="https://laws.boe.gov.sa/BoeLaws/Laws/LawDetails/a8376aea-1bc3-49d4-9027-aed900b555af/1" TargetMode="External"/><Relationship Id="rIdzpvep-gvufqqc0zler3ly" Type="http://schemas.openxmlformats.org/officeDocument/2006/relationships/hyperlink" Target="https://u.ae/en/information-and-services/business/Doing-business/doing-business-on-the-mainland/full-foreign-ownership-of-commercial-companies" TargetMode="External"/><Relationship Id="rIdde9db-tdnxdoao2wjwlal" Type="http://schemas.openxmlformats.org/officeDocument/2006/relationships/hyperlink" Target="https://www.qanu.ai/ar/%D9%86%D9%85%D8%A7%D8%B0%D8%AC/%D9%86%D9%85%D9%88%D8%B0%D8%AC-%D9%82%D8%B1%D8%A7%D8%B1-%D8%A7%D9%84%D8%B4%D8%B1%D9%83%D8%A7%D8%A1" TargetMode="External"/><Relationship Id="rIdzhhocgr5qf7ajgqxnvo6w" Type="http://schemas.openxmlformats.org/officeDocument/2006/relationships/hyperlink" Target="https://www.qanu.ai/ar/%D9%85%D8%B3%D8%B1%D8%AF-%D9%82%D8%A7%D9%86%D9%88%D9%86%D9%8A/%D8%A7%D9%84%D9%85%D8%B3%D8%AA%D9%81%D9%8A%D8%AF-%D8%A7%D9%84%D8%AD%D9%82%D9%8A%D9%82%D9%8A" TargetMode="External"/><Relationship Id="rIdeh2vihxq7ckeertzxsgqk" Type="http://schemas.openxmlformats.org/officeDocument/2006/relationships/hyperlink" Target="https://creativecommons.org/licenses/by/4.0/deed.ar" TargetMode="External"/><Relationship Id="rIdrn7aob03zvidofczqvt16" Type="http://schemas.openxmlformats.org/officeDocument/2006/relationships/hyperlink" Target="https://laws.boe.gov.sa/BoeLaws/Laws/LawDetails/a8376aea-1bc3-49d4-9027-aed900b555af/1" TargetMode="External"/><Relationship Id="rIdtl5rfkzvn4e3dtz9qvqxq" Type="http://schemas.openxmlformats.org/officeDocument/2006/relationships/hyperlink" Target="https://u.ae/en/information-and-services/business/Doing-business/doing-business-on-the-mainland/full-foreign-ownership-of-commercial-companies" TargetMode="External"/><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تنازل عن حصص في شركة</dc:title>
  <dc:creator>Qanu</dc:creator>
  <cp:keywords>تنازل عن حصص, شركة ذات مسؤولية محدودة, الشفعة, دول الخليج</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22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2026-10-23T18:59:24.526Z</dcterms:created>
  <dcterms:modified xsi:type="dcterms:W3CDTF">2026-10-23T18:59:24.526Z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https://www.qanu.ai/ar/نماذج/نموذج-تنازل-عن-حصص</vt:lpwstr>
  </property>
</Properties>
</file>