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11111" w:sz="12" w:space="6"/>
          <w:left w:val="single" w:color="111111" w:sz="12" w:space="6"/>
          <w:bottom w:val="single" w:color="111111" w:sz="12" w:space="6"/>
          <w:right w:val="single" w:color="111111" w:sz="12" w:space="6"/>
        </w:pBdr>
        <w:shd w:fill="FFF4D6" w:color="auto" w:val="clear"/>
        <w:bidi w:val="false"/>
      </w:pPr>
      <w:r>
        <w:rPr>
          <w:b/>
          <w:bCs/>
          <w:rtl w:val="false"/>
        </w:rPr>
        <w:t xml:space="preserve">Pre-emption and filing may come before closing.</w:t>
      </w:r>
      <w:r>
        <w:rPr>
          <w:rtl w:val="false"/>
        </w:rPr>
        <w:t xml:space="preserve"> A partner may transfer to another partner on the memorandum’s terms. A transfer to a third party is notified through the manager, and each partner may buy the share within thirty days, with a valuer if the price is disputed.</w:t>
      </w:r>
      <w:r>
        <w:rPr>
          <w:rtl w:val="false"/>
        </w:rPr>
        <w:t xml:space="preserve"> [1]</w:t>
      </w:r>
      <w:r>
        <w:rPr>
          <w:rtl w:val="false"/>
        </w:rPr>
        <w:t xml:space="preserve"> Registry or notary steps differ by country. This file states no fee or deadline. In the UAE LLC transfer and pre-emption are under review.</w:t>
      </w:r>
      <w:r>
        <w:rPr>
          <w:rtl w:val="false"/>
        </w:rPr>
        <w:t xml:space="preserve"> [2]</w:t>
      </w:r>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 Companies Law: </w:t>
      </w:r>
      <w:hyperlink w:history="1" r:id="rIde7gp4n3vpwhhociqq99ri">
        <w:r>
          <w:rPr>
            <w:rStyle w:val="Hyperlink"/>
            <w:sz w:val="17"/>
            <w:szCs w:val="17"/>
          </w:rPr>
          <w:t xml:space="preserve">https://laws.boe.gov.sa/BoeLaws/Laws/LawDetails/a8376aea-1bc3-49d4-9027-aed900b555af/1</w:t>
        </w:r>
      </w:hyperlink>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 UAE Commercial Companies Law: </w:t>
      </w:r>
      <w:hyperlink w:history="1" r:id="rIdpgor4wqzmyb_rclx6gcwa">
        <w:r>
          <w:rPr>
            <w:rStyle w:val="Hyperlink"/>
            <w:sz w:val="17"/>
            <w:szCs w:val="17"/>
          </w:rPr>
          <w:t xml:space="preserve">https://u.ae/en/information-and-services/business/Doing-business/doing-business-on-the-mainland/full-foreign-ownership-of-commercial-companies</w:t>
        </w:r>
      </w:hyperlink>
    </w:p>
    <w:p>
      <w:pPr>
        <w:bidi w:val="false"/>
        <w:spacing w:after="240"/>
      </w:pPr>
    </w:p>
    <w:p>
      <w:pPr>
        <w:pStyle w:val="Title"/>
        <w:bidi w:val="false"/>
      </w:pPr>
      <w:r>
        <w:rPr>
          <w:rtl w:val="false"/>
        </w:rPr>
        <w:t xml:space="preserve">Share transfer agreement</w:t>
      </w:r>
    </w:p>
    <w:p>
      <w:pPr>
        <w:bidi w:val="false"/>
        <w:spacing w:after="240"/>
      </w:pPr>
      <w:r>
        <w:rPr>
          <w:color w:val="444444"/>
          <w:rtl w:val="false"/>
        </w:rPr>
        <w:t xml:space="preserve">Sale or transfer of shares in a limited liability company in the GCC. Replace every </w:t>
      </w:r>
      <w:r>
        <w:rPr>
          <w:color w:val="444444"/>
          <w:highlight w:val="yellow"/>
          <w:rtl w:val="false"/>
        </w:rPr>
        <w:t xml:space="preserve">[</w:t>
      </w:r>
      <w:r>
        <w:rPr>
          <w:color w:val="444444"/>
          <w:highlight w:val="yellow"/>
          <w:rtl w:val="false"/>
        </w:rPr>
        <w:t xml:space="preserve">bracketed phrase</w:t>
      </w:r>
      <w:r>
        <w:rPr>
          <w:color w:val="444444"/>
          <w:highlight w:val="yellow"/>
          <w:rtl w:val="false"/>
        </w:rPr>
        <w:t xml:space="preserve">]</w:t>
      </w:r>
      <w:r>
        <w:rPr>
          <w:color w:val="444444"/>
          <w:rtl w:val="false"/>
        </w:rPr>
        <w:t xml:space="preserve">. This is a starting point. Have it reviewed by a lawyer licensed in the relevant jurisdiction before you use it.</w:t>
      </w:r>
    </w:p>
    <w:p>
      <w:pPr>
        <w:pStyle w:val="Heading1"/>
        <w:bidi w:val="false"/>
      </w:pPr>
      <w:r>
        <w:rPr>
          <w:rtl w:val="false"/>
        </w:rPr>
        <w:t xml:space="preserve">Clause (1): Parties and company</w:t>
      </w:r>
    </w:p>
    <w:p>
      <w:pPr>
        <w:bidi w:val="false"/>
      </w:pPr>
      <w:r>
        <w:rPr>
          <w:rtl w:val="false"/>
        </w:rPr>
        <w:t xml:space="preserve">Made on </w:t>
      </w:r>
      <w:r>
        <w:rPr>
          <w:highlight w:val="yellow"/>
          <w:rtl w:val="false"/>
        </w:rPr>
        <w:t xml:space="preserve">[</w:t>
      </w:r>
      <w:r>
        <w:rPr>
          <w:highlight w:val="yellow"/>
          <w:rtl w:val="false"/>
        </w:rPr>
        <w:t xml:space="preserve">date</w:t>
      </w:r>
      <w:r>
        <w:rPr>
          <w:highlight w:val="yellow"/>
          <w:rtl w:val="false"/>
        </w:rPr>
        <w:t xml:space="preserve">]</w:t>
      </w:r>
      <w:r>
        <w:rPr>
          <w:rtl w:val="false"/>
        </w:rPr>
        <w:t xml:space="preserve"> between </w:t>
      </w:r>
      <w:r>
        <w:rPr>
          <w:highlight w:val="yellow"/>
          <w:rtl w:val="false"/>
        </w:rPr>
        <w:t xml:space="preserve">[</w:t>
      </w:r>
      <w:r>
        <w:rPr>
          <w:highlight w:val="yellow"/>
          <w:rtl w:val="false"/>
        </w:rPr>
        <w:t xml:space="preserve">seller</w:t>
      </w:r>
      <w:r>
        <w:rPr>
          <w:highlight w:val="yellow"/>
          <w:rtl w:val="false"/>
        </w:rPr>
        <w:t xml:space="preserve">]</w:t>
      </w:r>
      <w:r>
        <w:rPr>
          <w:rtl w:val="false"/>
        </w:rPr>
        <w:t xml:space="preserve"> (the “Seller”) and </w:t>
      </w:r>
      <w:r>
        <w:rPr>
          <w:highlight w:val="yellow"/>
          <w:rtl w:val="false"/>
        </w:rPr>
        <w:t xml:space="preserve">[</w:t>
      </w:r>
      <w:r>
        <w:rPr>
          <w:highlight w:val="yellow"/>
          <w:rtl w:val="false"/>
        </w:rPr>
        <w:t xml:space="preserve">buyer</w:t>
      </w:r>
      <w:r>
        <w:rPr>
          <w:highlight w:val="yellow"/>
          <w:rtl w:val="false"/>
        </w:rPr>
        <w:t xml:space="preserve">]</w:t>
      </w:r>
      <w:r>
        <w:rPr>
          <w:rtl w:val="false"/>
        </w:rPr>
        <w:t xml:space="preserve"> (the “Buyer”). The company: </w:t>
      </w:r>
      <w:r>
        <w:rPr>
          <w:highlight w:val="yellow"/>
          <w:rtl w:val="false"/>
        </w:rPr>
        <w:t xml:space="preserve">[</w:t>
      </w:r>
      <w:r>
        <w:rPr>
          <w:highlight w:val="yellow"/>
          <w:rtl w:val="false"/>
        </w:rPr>
        <w:t xml:space="preserve">company name</w:t>
      </w:r>
      <w:r>
        <w:rPr>
          <w:highlight w:val="yellow"/>
          <w:rtl w:val="false"/>
        </w:rPr>
        <w:t xml:space="preserve">]</w:t>
      </w:r>
      <w:r>
        <w:rPr>
          <w:rtl w:val="false"/>
        </w:rPr>
        <w:t xml:space="preserve"> LLC, CR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share capital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(the “Company”).</w:t>
      </w:r>
    </w:p>
    <w:p>
      <w:pPr>
        <w:pStyle w:val="Heading1"/>
        <w:bidi w:val="false"/>
      </w:pPr>
      <w:r>
        <w:rPr>
          <w:rtl w:val="false"/>
        </w:rPr>
        <w:t xml:space="preserve">Clause (2): Shares transferred</w:t>
      </w:r>
    </w:p>
    <w:p>
      <w:pPr>
        <w:bidi w:val="false"/>
      </w:pPr>
      <w:r>
        <w:rPr>
          <w:rtl w:val="false"/>
        </w:rPr>
        <w:t xml:space="preserve">The Seller transfers to the Buyer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share(s), representing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of the capital, numbered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in the partners’ register.</w:t>
      </w:r>
    </w:p>
    <w:p>
      <w:pPr>
        <w:pStyle w:val="Heading1"/>
        <w:bidi w:val="false"/>
      </w:pPr>
      <w:r>
        <w:rPr>
          <w:rtl w:val="false"/>
        </w:rPr>
        <w:t xml:space="preserve">Clause (3): Price and payment</w:t>
      </w:r>
    </w:p>
    <w:p>
      <w:pPr>
        <w:bidi w:val="false"/>
      </w:pPr>
      <w:r>
        <w:rPr>
          <w:rtl w:val="false"/>
        </w:rPr>
        <w:t xml:space="preserve">Total price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w:t>
      </w:r>
      <w:r>
        <w:rPr>
          <w:highlight w:val="yellow"/>
          <w:rtl w:val="false"/>
        </w:rPr>
        <w:t xml:space="preserve">[</w:t>
      </w:r>
      <w:r>
        <w:rPr>
          <w:highlight w:val="yellow"/>
          <w:rtl w:val="false"/>
        </w:rPr>
        <w:t xml:space="preserve">figures and words</w:t>
      </w:r>
      <w:r>
        <w:rPr>
          <w:highlight w:val="yellow"/>
          <w:rtl w:val="false"/>
        </w:rPr>
        <w:t xml:space="preserve">]</w:t>
      </w:r>
      <w:r>
        <w:rPr>
          <w:rtl w:val="false"/>
        </w:rPr>
        <w:t xml:space="preserve">. Payment: </w:t>
      </w:r>
      <w:r>
        <w:rPr>
          <w:highlight w:val="yellow"/>
          <w:rtl w:val="false"/>
        </w:rPr>
        <w:t xml:space="preserve">[</w:t>
      </w:r>
      <w:r>
        <w:rPr>
          <w:highlight w:val="yellow"/>
          <w:rtl w:val="false"/>
        </w:rPr>
        <w:t xml:space="preserve">lump sum / instalments</w:t>
      </w:r>
      <w:r>
        <w:rPr>
          <w:highlight w:val="yellow"/>
          <w:rtl w:val="false"/>
        </w:rPr>
        <w:t xml:space="preserve">]</w:t>
      </w:r>
      <w:r>
        <w:rPr>
          <w:rtl w:val="false"/>
        </w:rPr>
        <w:t xml:space="preserve"> on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No tax rate is hard-coded in this file.</w:t>
      </w:r>
    </w:p>
    <w:p>
      <w:pPr>
        <w:pStyle w:val="Heading1"/>
        <w:bidi w:val="false"/>
      </w:pPr>
      <w:commentRangeStart w:id="0"/>
      <w:r>
        <w:rPr>
          <w:rtl w:val="false"/>
        </w:rPr>
        <w:t xml:space="preserve">Clause (4): Closing conditions</w:t>
      </w:r>
      <w:commentRangeEnd w:id="0"/>
      <w:r>
        <w:rPr>
          <w:rtl w:val="false"/>
        </w:rPr>
        <w:commentReference w:id="0"/>
      </w:r>
    </w:p>
    <w:p>
      <w:pPr>
        <w:bidi w:val="false"/>
      </w:pPr>
      <w:r>
        <w:rPr>
          <w:rtl w:val="false"/>
        </w:rPr>
        <w:t xml:space="preserve">Closing on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after: </w:t>
      </w:r>
      <w:r>
        <w:rPr>
          <w:highlight w:val="yellow"/>
          <w:rtl w:val="false"/>
        </w:rPr>
        <w:t xml:space="preserve">[</w:t>
      </w:r>
      <w:r>
        <w:rPr>
          <w:highlight w:val="yellow"/>
          <w:rtl w:val="false"/>
        </w:rPr>
        <w:t xml:space="preserve">partners’ resolution if required / pre-emption notice / authority approval</w:t>
      </w:r>
      <w:r>
        <w:rPr>
          <w:highlight w:val="yellow"/>
          <w:rtl w:val="false"/>
        </w:rPr>
        <w:t xml:space="preserve">]</w:t>
      </w:r>
      <w:r>
        <w:rPr>
          <w:rtl w:val="false"/>
        </w:rPr>
        <w:t xml:space="preserve">. Use the </w:t>
      </w:r>
      <w:hyperlink w:history="1" r:id="rId3jjeng8wecklomlv9plj9">
        <w:r>
          <w:rPr>
            <w:rStyle w:val="Hyperlink"/>
            <w:rtl w:val="false"/>
          </w:rPr>
          <w:t xml:space="preserve">partners' resolution</w:t>
        </w:r>
      </w:hyperlink>
      <w:r>
        <w:rPr>
          <w:rtl w:val="false"/>
        </w:rPr>
        <w:t xml:space="preserve"> if a resolution is needed.</w:t>
      </w:r>
    </w:p>
    <w:p>
      <w:pPr>
        <w:pStyle w:val="Heading1"/>
        <w:bidi w:val="false"/>
      </w:pPr>
      <w:r>
        <w:rPr>
          <w:rtl w:val="false"/>
        </w:rPr>
        <w:t xml:space="preserve">Clause (5): Seller representations</w:t>
      </w:r>
    </w:p>
    <w:p>
      <w:pPr>
        <w:bidi w:val="false"/>
      </w:pPr>
      <w:r>
        <w:rPr>
          <w:rtl w:val="false"/>
        </w:rPr>
        <w:t xml:space="preserve">The Seller represents that it owns the shares free of any pledge or attachment known to it, and that the transfer does not breach the memorandum except as satisfied here.</w:t>
      </w:r>
    </w:p>
    <w:p>
      <w:pPr>
        <w:pStyle w:val="Heading1"/>
        <w:bidi w:val="false"/>
      </w:pPr>
      <w:r>
        <w:rPr>
          <w:rtl w:val="false"/>
        </w:rPr>
        <w:t xml:space="preserve">Clause (6): Filing and notarisation</w:t>
      </w:r>
    </w:p>
    <w:p>
      <w:pPr>
        <w:bidi w:val="false"/>
      </w:pPr>
      <w:r>
        <w:rPr>
          <w:rtl w:val="false"/>
        </w:rPr>
        <w:t xml:space="preserve">The parties cooperate on filing or notarisation with </w:t>
      </w:r>
      <w:r>
        <w:rPr>
          <w:highlight w:val="yellow"/>
          <w:rtl w:val="false"/>
        </w:rPr>
        <w:t xml:space="preserve">[</w:t>
      </w:r>
      <w:r>
        <w:rPr>
          <w:highlight w:val="yellow"/>
          <w:rtl w:val="false"/>
        </w:rPr>
        <w:t xml:space="preserve">register / notary / platform</w:t>
      </w:r>
      <w:r>
        <w:rPr>
          <w:highlight w:val="yellow"/>
          <w:rtl w:val="false"/>
        </w:rPr>
        <w:t xml:space="preserve">]</w:t>
      </w:r>
      <w:r>
        <w:rPr>
          <w:rtl w:val="false"/>
        </w:rPr>
        <w:t xml:space="preserve"> in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This page states no fees or timelines.</w:t>
      </w:r>
    </w:p>
    <w:p>
      <w:pPr>
        <w:pStyle w:val="Heading1"/>
        <w:bidi w:val="false"/>
      </w:pPr>
      <w:r>
        <w:rPr>
          <w:rtl w:val="false"/>
        </w:rPr>
        <w:t xml:space="preserve">Clause (7): Beneficial owner</w:t>
      </w:r>
    </w:p>
    <w:p>
      <w:pPr>
        <w:bidi w:val="false"/>
      </w:pPr>
      <w:r>
        <w:rPr>
          <w:rtl w:val="false"/>
        </w:rPr>
        <w:t xml:space="preserve">The parties undertake to disclose the </w:t>
      </w:r>
      <w:hyperlink w:history="1" r:id="rIdqzmadne8aqprf8dnchzxp">
        <w:r>
          <w:rPr>
            <w:rStyle w:val="Hyperlink"/>
            <w:rtl w:val="false"/>
          </w:rPr>
          <w:t xml:space="preserve">beneficial owner</w:t>
        </w:r>
      </w:hyperlink>
      <w:r>
        <w:rPr>
          <w:rtl w:val="false"/>
        </w:rPr>
        <w:t xml:space="preserve"> under the law in force in the state.</w:t>
      </w:r>
    </w:p>
    <w:p>
      <w:pPr>
        <w:pStyle w:val="Heading1"/>
        <w:bidi w:val="false"/>
      </w:pPr>
      <w:r>
        <w:rPr>
          <w:rtl w:val="false"/>
        </w:rPr>
        <w:t xml:space="preserve">Clause (8): Law and dispute</w:t>
      </w:r>
    </w:p>
    <w:p>
      <w:pPr>
        <w:bidi w:val="false"/>
      </w:pPr>
      <w:r>
        <w:rPr>
          <w:rtl w:val="false"/>
        </w:rPr>
        <w:t xml:space="preserve">Governed by the laws of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and the courts of </w:t>
      </w:r>
      <w:r>
        <w:rPr>
          <w:highlight w:val="yellow"/>
          <w:rtl w:val="false"/>
        </w:rPr>
        <w:t xml:space="preserve">[</w:t>
      </w:r>
      <w:r>
        <w:rPr>
          <w:highlight w:val="yellow"/>
          <w:rtl w:val="false"/>
        </w:rPr>
        <w:t xml:space="preserve">●</w:t>
      </w:r>
      <w:r>
        <w:rPr>
          <w:highlight w:val="yellow"/>
          <w:rtl w:val="false"/>
        </w:rPr>
        <w:t xml:space="preserve">]</w:t>
      </w:r>
      <w:r>
        <w:rPr>
          <w:rtl w:val="false"/>
        </w:rPr>
        <w:t xml:space="preserve">.</w:t>
      </w:r>
    </w:p>
    <w:p>
      <w:pPr>
        <w:pStyle w:val="Heading1"/>
        <w:bidi w:val="false"/>
      </w:pPr>
      <w:r>
        <w:rPr>
          <w:rtl w:val="false"/>
        </w:rPr>
        <w:t xml:space="preserve">Clause (9): Signatures</w:t>
      </w:r>
    </w:p>
    <w:p>
      <w:pPr>
        <w:bidi w:val="false"/>
      </w:pPr>
      <w:r>
        <w:rPr>
          <w:rtl w:val="false"/>
        </w:rPr>
        <w:t xml:space="preserve">Signed: Seller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Buyer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Company if required </w:t>
      </w:r>
      <w:r>
        <w:rPr>
          <w:highlight w:val="yellow"/>
          <w:rtl w:val="false"/>
        </w:rPr>
        <w:t xml:space="preserve">[</w:t>
      </w:r>
      <w:r>
        <w:rPr>
          <w:highlight w:val="yellow"/>
          <w:rtl w:val="false"/>
        </w:rPr>
        <w:t xml:space="preserve">●</w:t>
      </w:r>
      <w:r>
        <w:rPr>
          <w:highlight w:val="yellow"/>
          <w:rtl w:val="false"/>
        </w:rPr>
        <w:t xml:space="preserve">]</w:t>
      </w:r>
      <w:r>
        <w:rPr>
          <w:rtl w:val="false"/>
        </w:rPr>
        <w:t xml:space="preserve">.</w:t>
      </w:r>
    </w:p>
    <w:p>
      <w:pPr>
        <w:pStyle w:val="Heading1"/>
        <w:pageBreakBefore/>
        <w:bidi w:val="false"/>
      </w:pPr>
      <w:r>
        <w:rPr>
          <w:rtl w:val="false"/>
        </w:rPr>
        <w:t xml:space="preserve">Saudi Arabia notes</w:t>
      </w:r>
    </w:p>
    <w:tbl>
      <w:tblPr>
        <w:bidiVisual w:val="off"/>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val="false"/>
              <w:spacing w:after="0"/>
            </w:pPr>
            <w:r>
              <w:rPr>
                <w:b/>
                <w:bCs/>
                <w:sz w:val="18"/>
                <w:szCs w:val="18"/>
                <w:rtl w:val="false"/>
              </w:rPr>
              <w:t xml:space="preserve">Topic</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Text</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Transfer</w:t>
            </w:r>
          </w:p>
        </w:tc>
        <w:tc>
          <w:tcPr>
            <w:tcMar>
              <w:top w:type="dxa" w:w="80"/>
              <w:left w:type="dxa" w:w="100"/>
              <w:bottom w:type="dxa" w:w="80"/>
              <w:right w:type="dxa" w:w="100"/>
            </w:tcMar>
          </w:tcPr>
          <w:p>
            <w:pPr>
              <w:bidi w:val="false"/>
              <w:spacing w:after="0"/>
            </w:pPr>
            <w:r>
              <w:rPr>
                <w:b w:val="false"/>
                <w:sz w:val="18"/>
                <w:szCs w:val="18"/>
                <w:rtl w:val="false"/>
              </w:rPr>
              <w:t xml:space="preserve">A partner may transfer to another partner on the memorandum’s terms. A transfer to a third party is notified through the manager, and each partner may buy the share within thirty days, with a valuer if the price is disputed (Article 178).</w:t>
            </w:r>
            <w:r>
              <w:rPr>
                <w:b w:val="false"/>
                <w:sz w:val="18"/>
                <w:szCs w:val="18"/>
                <w:rtl w:val="false"/>
              </w:rPr>
              <w:t xml:space="preserve"> [1]</w:t>
            </w:r>
          </w:p>
        </w:tc>
      </w:tr>
    </w:tbl>
    <w:p>
      <w:pPr>
        <w:bidi w:val="false"/>
      </w:pPr>
    </w:p>
    <w:p>
      <w:pPr>
        <w:pStyle w:val="Heading1"/>
        <w:pageBreakBefore/>
        <w:bidi w:val="false"/>
      </w:pPr>
      <w:r>
        <w:rPr>
          <w:rtl w:val="false"/>
        </w:rPr>
        <w:t xml:space="preserve">United Arab Emirates notes</w:t>
      </w:r>
    </w:p>
    <w:tbl>
      <w:tblPr>
        <w:bidiVisual w:val="off"/>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val="false"/>
              <w:spacing w:after="0"/>
            </w:pPr>
            <w:r>
              <w:rPr>
                <w:b/>
                <w:bCs/>
                <w:sz w:val="18"/>
                <w:szCs w:val="18"/>
                <w:rtl w:val="false"/>
              </w:rPr>
              <w:t xml:space="preserve">Topic</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Text</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LLC transfer and pre-emption</w:t>
            </w:r>
          </w:p>
        </w:tc>
        <w:tc>
          <w:tcPr>
            <w:tcMar>
              <w:top w:type="dxa" w:w="80"/>
              <w:left w:type="dxa" w:w="100"/>
              <w:bottom w:type="dxa" w:w="80"/>
              <w:right w:type="dxa" w:w="100"/>
            </w:tcMar>
          </w:tcPr>
          <w:p>
            <w:pPr>
              <w:bidi w:val="false"/>
              <w:spacing w:after="0"/>
            </w:pPr>
            <w:r>
              <w:rPr>
                <w:b w:val="false"/>
                <w:sz w:val="18"/>
                <w:szCs w:val="18"/>
                <w:rtl w:val="false"/>
              </w:rPr>
              <w:t xml:space="preserve">Under review. No article number in this file.</w:t>
            </w:r>
            <w:r>
              <w:rPr>
                <w:b w:val="false"/>
                <w:sz w:val="18"/>
                <w:szCs w:val="18"/>
                <w:rtl w:val="false"/>
              </w:rPr>
              <w:t xml:space="preserve"> [2]</w:t>
            </w:r>
          </w:p>
        </w:tc>
      </w:tr>
    </w:tbl>
    <w:p>
      <w:pPr>
        <w:bidi w:val="false"/>
      </w:pPr>
    </w:p>
    <w:p>
      <w:pPr>
        <w:pStyle w:val="Heading1"/>
        <w:bidi w:val="false"/>
      </w:pPr>
      <w:r>
        <w:rPr>
          <w:rtl w:val="false"/>
        </w:rPr>
        <w:t xml:space="preserve">Qatar, Bahrain, Kuwait and Oman</w:t>
      </w:r>
    </w:p>
    <w:p>
      <w:pPr>
        <w:pStyle w:val="ListParagraph"/>
        <w:numPr>
          <w:ilvl w:val="0"/>
          <w:numId w:val="2"/>
        </w:numPr>
        <w:bidi w:val="false"/>
      </w:pPr>
      <w:r>
        <w:rPr>
          <w:rtl w:val="false"/>
        </w:rPr>
        <w:t xml:space="preserve">Qatar: under review. No article number.</w:t>
      </w:r>
    </w:p>
    <w:p>
      <w:pPr>
        <w:pStyle w:val="ListParagraph"/>
        <w:numPr>
          <w:ilvl w:val="0"/>
          <w:numId w:val="2"/>
        </w:numPr>
        <w:bidi w:val="false"/>
      </w:pPr>
      <w:r>
        <w:rPr>
          <w:rtl w:val="false"/>
        </w:rPr>
        <w:t xml:space="preserve">Bahrain: under review. No article number.</w:t>
      </w:r>
    </w:p>
    <w:p>
      <w:pPr>
        <w:pStyle w:val="ListParagraph"/>
        <w:numPr>
          <w:ilvl w:val="0"/>
          <w:numId w:val="2"/>
        </w:numPr>
        <w:bidi w:val="false"/>
      </w:pPr>
      <w:r>
        <w:rPr>
          <w:rtl w:val="false"/>
        </w:rPr>
        <w:t xml:space="preserve">Kuwait: under review. No article number.</w:t>
      </w:r>
    </w:p>
    <w:p>
      <w:pPr>
        <w:pStyle w:val="ListParagraph"/>
        <w:numPr>
          <w:ilvl w:val="0"/>
          <w:numId w:val="2"/>
        </w:numPr>
        <w:bidi w:val="false"/>
      </w:pPr>
      <w:r>
        <w:rPr>
          <w:rtl w:val="false"/>
        </w:rPr>
        <w:t xml:space="preserve">Oman: under review. No article number.</w:t>
      </w:r>
    </w:p>
    <w:p>
      <w:pPr>
        <w:pStyle w:val="Heading1"/>
        <w:pageBreakBefore/>
        <w:bidi w:val="false"/>
      </w:pPr>
      <w:r>
        <w:rPr>
          <w:rtl w:val="false"/>
        </w:rPr>
        <w:t xml:space="preserve">About this template</w:t>
      </w:r>
    </w:p>
    <w:p>
      <w:pPr>
        <w:bidi w:val="false"/>
      </w:pPr>
      <w:r>
        <w:rPr>
          <w:rtl w:val="false"/>
        </w:rPr>
        <w:t xml:space="preserve">This is a template, not legal advice. It does not create a lawyer–client relationship. Court rules, regulator guidance and laws change; check the official sources linked and have the contract reviewed by qualified counsel in each relevant jurisdiction. Last reviewed: 22 October 2026. Have it reviewed by a lawyer licensed in your jurisdiction before use. Where an official form or platform is mandatory, it prevails.</w:t>
      </w:r>
    </w:p>
    <w:p>
      <w:pPr>
        <w:bidi w:val="false"/>
      </w:pPr>
      <w:r>
        <w:rPr>
          <w:b/>
          <w:bCs/>
          <w:rtl w:val="false"/>
        </w:rPr>
        <w:t xml:space="preserve">How we prepared this template:</w:t>
      </w:r>
      <w:r>
        <w:rPr>
          <w:rtl w:val="false"/>
        </w:rPr>
        <w:t xml:space="preserve"> we drafted it from the official legislation and government platforms listed under Sources, and checked each legal statement against the official text on the review date. Where an official form or platform exists, we link to it and you should use it. Laws change; check the sources before use and have the final text reviewed by a licensed lawyer.</w:t>
      </w:r>
    </w:p>
    <w:p>
      <w:pPr>
        <w:bidi w:val="false"/>
      </w:pPr>
      <w:r>
        <w:rPr>
          <w:rtl w:val="false"/>
        </w:rPr>
        <w:t xml:space="preserve">The text of this page and the .docx downloads are licensed under </w:t>
      </w:r>
      <w:hyperlink w:history="1" r:id="rIdbc21kmcel8kfvja-qyy7i">
        <w:r>
          <w:rPr>
            <w:rStyle w:val="Hyperlink"/>
            <w:rtl w:val="false"/>
          </w:rPr>
          <w:t xml:space="preserve">Creative Commons Attribution 4.0 International (CC BY 4.0)</w:t>
        </w:r>
      </w:hyperlink>
      <w:r>
        <w:rPr>
          <w:rtl w:val="false"/>
        </w:rPr>
        <w:t xml:space="preserve">. The Qanu name and logo are not covered by the licence.</w:t>
      </w:r>
    </w:p>
    <w:p>
      <w:pPr>
        <w:bidi w:val="false"/>
      </w:pPr>
      <w:r>
        <w:rPr>
          <w:rtl w:val="false"/>
        </w:rPr>
        <w:t xml:space="preserve">Source: https://www.qanu.ai/en/templates/share-transfer-agreement · Last reviewed: 22 October 2026 · Not legal advice · CC BY 4.0</w:t>
      </w:r>
    </w:p>
    <w:p>
      <w:pPr>
        <w:pStyle w:val="Heading2"/>
        <w:bidi w:val="false"/>
      </w:pPr>
      <w:r>
        <w:rPr>
          <w:rtl w:val="false"/>
        </w:rPr>
        <w:t xml:space="preserve">Sources</w:t>
      </w:r>
    </w:p>
    <w:p>
      <w:pPr>
        <w:bidi w:val="false"/>
        <w:ind w:start="360" w:hanging="360"/>
      </w:pPr>
      <w:r>
        <w:rPr>
          <w:sz w:val="18"/>
          <w:szCs w:val="18"/>
          <w:rtl w:val="false"/>
        </w:rPr>
        <w:t xml:space="preserve">[1] Companies Law, Royal Decree No. M/132 dated 1/12/1443H (30 June 2022) </w:t>
      </w:r>
      <w:hyperlink w:history="1" r:id="rIdgrfa1iq6cmwvnnmp9dprz">
        <w:r>
          <w:rPr>
            <w:rStyle w:val="Hyperlink"/>
            <w:sz w:val="16"/>
            <w:szCs w:val="16"/>
          </w:rPr>
          <w:t xml:space="preserve">https://laws.boe.gov.sa/BoeLaws/Laws/LawDetails/a8376aea-1bc3-49d4-9027-aed900b555af/1</w:t>
        </w:r>
      </w:hyperlink>
    </w:p>
    <w:p>
      <w:pPr>
        <w:bidi w:val="false"/>
        <w:ind w:start="360" w:hanging="360"/>
      </w:pPr>
      <w:r>
        <w:rPr>
          <w:sz w:val="18"/>
          <w:szCs w:val="18"/>
          <w:rtl w:val="false"/>
        </w:rPr>
        <w:t xml:space="preserve">[2] UAE Government portal (u.ae), Commercial Companies Law (Federal Decree-Law No. 32 of 2021) </w:t>
      </w:r>
      <w:hyperlink w:history="1" r:id="rIdujomqrk2d314pxjbqn9ow">
        <w:r>
          <w:rPr>
            <w:rStyle w:val="Hyperlink"/>
            <w:sz w:val="16"/>
            <w:szCs w:val="16"/>
          </w:rPr>
          <w:t xml:space="preserve">https://u.ae/en/information-and-services/business/Doing-business/doing-business-on-the-mainland/full-foreign-ownership-of-commercial-companies</w:t>
        </w:r>
      </w:hyperlink>
    </w:p>
    <w:sectPr>
      <w:headerReference w:type="default" r:id="rId7"/>
      <w:headerReference w:type="first" r:id="rId8"/>
      <w:footerReference w:type="default" r:id="rId9"/>
      <w:footerReference w:type="first" r:id="rId10"/>
      <w:pgSz w:w="11906" w:h="16838" w:orient="portrait"/>
      <w:pgMar w:top="1300" w:right="1200" w:bottom="1100" w:left="1200" w:header="500" w:footer="500" w:gutter="0"/>
      <w:pgNumType/>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Q" w:author="Qanu" w:date="2026-10-22T00:00:00.000Z">
    <w:p>
      <w:pPr>
        <w:bidi w:val="false"/>
      </w:pPr>
      <w:r>
        <w:rPr>
          <w:b/>
          <w:bCs/>
          <w:rtl w:val="false"/>
        </w:rPr>
        <w:t xml:space="preserve">Drafting note</w:t>
      </w:r>
    </w:p>
    <w:p>
      <w:pPr>
        <w:bidi w:val="false"/>
      </w:pPr>
      <w:r>
        <w:rPr>
          <w:rtl w:val="false"/>
        </w:rPr>
        <w:t xml:space="preserve">In Saudi Arabia pre-emption is managed under Article 178 before completing a sale to a non-partner.</w:t>
      </w:r>
      <w:r>
        <w:rPr>
          <w:rtl w:val="false"/>
        </w:rPr>
        <w:t xml:space="preserve"> [1]</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val="false"/>
    </w:pPr>
    <w:r>
      <w:rPr>
        <w:color w:val="555555"/>
        <w:sz w:val="16"/>
        <w:szCs w:val="16"/>
        <w:rtl w:val="false"/>
      </w:rPr>
      <w:t xml:space="preserve">CC BY 4.0 · Page </w:t>
    </w:r>
    <w:r>
      <w:rPr>
        <w:color w:val="555555"/>
        <w:sz w:val="16"/>
        <w:szCs w:val="16"/>
        <w:rtl w:val="false"/>
      </w:rPr>
      <w:fldChar w:fldCharType="begin"/>
    </w:r>
    <w:r>
      <w:rPr>
        <w:color w:val="555555"/>
        <w:sz w:val="16"/>
        <w:szCs w:val="16"/>
        <w:rtl w:val="false"/>
      </w:rPr>
      <w:instrText xml:space="preserve">PAGE</w:instrText>
    </w:r>
    <w:r>
      <w:rPr>
        <w:color w:val="555555"/>
        <w:sz w:val="16"/>
        <w:szCs w:val="16"/>
        <w:rtl w:val="false"/>
      </w:rPr>
      <w:fldChar w:fldCharType="separate"/>
    </w:r>
    <w:r>
      <w:rPr>
        <w:color w:val="555555"/>
        <w:sz w:val="16"/>
        <w:szCs w:val="16"/>
        <w:rtl w:val="false"/>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val="false"/>
    </w:pPr>
    <w:r>
      <w:rPr>
        <w:color w:val="555555"/>
        <w:sz w:val="16"/>
        <w:szCs w:val="16"/>
        <w:rtl w:val="false"/>
      </w:rPr>
      <w:t xml:space="preserve">CC BY 4.0 · Page </w:t>
    </w:r>
    <w:r>
      <w:rPr>
        <w:color w:val="555555"/>
        <w:sz w:val="16"/>
        <w:szCs w:val="16"/>
        <w:rtl w:val="false"/>
      </w:rPr>
      <w:fldChar w:fldCharType="begin"/>
    </w:r>
    <w:r>
      <w:rPr>
        <w:color w:val="555555"/>
        <w:sz w:val="16"/>
        <w:szCs w:val="16"/>
        <w:rtl w:val="false"/>
      </w:rPr>
      <w:instrText xml:space="preserve">PAGE</w:instrText>
    </w:r>
    <w:r>
      <w:rPr>
        <w:color w:val="555555"/>
        <w:sz w:val="16"/>
        <w:szCs w:val="16"/>
        <w:rtl w:val="false"/>
      </w:rPr>
      <w:fldChar w:fldCharType="separate"/>
    </w:r>
    <w:r>
      <w:rPr>
        <w:color w:val="555555"/>
        <w:sz w:val="16"/>
        <w:szCs w:val="16"/>
        <w:rtl w:val="false"/>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pPr>
    <w:r>
      <w:rPr>
        <w:color w:val="555555"/>
        <w:sz w:val="16"/>
        <w:szCs w:val="16"/>
        <w:rtl w:val="false"/>
      </w:rPr>
      <w:t xml:space="preserve">Template – not legal advice – Qanu – last reviewed 22 October 2026 – https://www.qanu.ai/en/templates/share-transfer-agreement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BBBBB" w:sz="4" w:space="4"/>
      </w:pBdr>
      <w:bidi w:val="false"/>
    </w:pPr>
    <w:r>
      <w:rPr>
        <w:color w:val="555555"/>
        <w:sz w:val="16"/>
        <w:szCs w:val="16"/>
        <w:rtl w:val="false"/>
      </w:rPr>
      <w:t xml:space="preserve">Template – not legal advice – Qanu – last reviewed 22 October 2026 – https://www.qanu.ai/en/templates/share-transfer-agreement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start="360" w:hanging="260"/>
      </w:pPr>
    </w:lvl>
    <w:lvl w:ilvl="1" w:tentative="1">
      <w:start w:val="1"/>
      <w:numFmt w:val="bullet"/>
      <w:lvlText w:val="◦"/>
      <w:lvlJc w:val="left"/>
      <w:pPr>
        <w:ind w:start="900" w:hanging="260"/>
      </w:pPr>
    </w:lvl>
  </w:abstractNum>
  <w:num w:numId="1">
    <w:abstractNumId w:val="1"/>
    <w:lvlOverride w:ilvl="0">
      <w:startOverride w:val="1"/>
    </w:lvlOverride>
  </w:num>
  <w:num w:numId="2">
    <w:abstractNumId w:val="2"/>
    <w:lvlOverride w:ilvl="0">
      <w:startOverride w:val="1"/>
    </w:lvlOverride>
    <w:lvlOverride w:ilvl="1">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IBM Plex Sans Arabic" w:eastAsia="Calibri" w:hAnsi="Calibri"/>
        <w:sz w:val="21"/>
        <w:szCs w:val="21"/>
        <w:lang w:val="en-GB" w:bidi="ar-SA"/>
      </w:rPr>
    </w:rPrDefault>
    <w:pPrDefault>
      <w:pPr>
        <w:spacing w:after="120" w:line="276"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spacing w:after="120" w:line="240" w:lineRule="auto"/>
    </w:pPr>
    <w:rPr>
      <w:rFonts w:ascii="Calibri" w:cs="IBM Plex Sans Arabic" w:eastAsia="Calibri" w:hAnsi="Calibri"/>
      <w:b/>
      <w:bCs/>
      <w:color w:val="111111"/>
      <w:sz w:val="36"/>
      <w:szCs w:val="36"/>
    </w:rPr>
  </w:style>
  <w:style w:type="paragraph" w:styleId="Heading1">
    <w:name w:val="Heading 1"/>
    <w:basedOn w:val="Normal"/>
    <w:next w:val="Normal"/>
    <w:qFormat/>
    <w:pPr>
      <w:keepNext/>
      <w:spacing w:after="120" w:before="320"/>
    </w:pPr>
    <w:rPr>
      <w:rFonts w:ascii="Calibri" w:cs="IBM Plex Sans Arabic" w:eastAsia="Calibri" w:hAnsi="Calibri"/>
      <w:b/>
      <w:bCs/>
      <w:color w:val="111111"/>
      <w:sz w:val="26"/>
      <w:szCs w:val="26"/>
    </w:rPr>
  </w:style>
  <w:style w:type="paragraph" w:styleId="Heading2">
    <w:name w:val="Heading 2"/>
    <w:basedOn w:val="Normal"/>
    <w:next w:val="Normal"/>
    <w:qFormat/>
    <w:pPr>
      <w:keepNext/>
      <w:spacing w:after="120" w:before="240"/>
    </w:pPr>
    <w:rPr>
      <w:rFonts w:ascii="Calibri" w:cs="IBM Plex Sans Arabic" w:eastAsia="Calibri" w:hAnsi="Calibri"/>
      <w:b/>
      <w:bCs/>
      <w:color w:val="111111"/>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F4E9E"/>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theme" Target="theme/theme1.xml"/><Relationship Id="rIde7gp4n3vpwhhociqq99ri" Type="http://schemas.openxmlformats.org/officeDocument/2006/relationships/hyperlink" Target="https://laws.boe.gov.sa/BoeLaws/Laws/LawDetails/a8376aea-1bc3-49d4-9027-aed900b555af/1" TargetMode="External"/><Relationship Id="rIdpgor4wqzmyb_rclx6gcwa" Type="http://schemas.openxmlformats.org/officeDocument/2006/relationships/hyperlink" Target="https://u.ae/en/information-and-services/business/Doing-business/doing-business-on-the-mainland/full-foreign-ownership-of-commercial-companies" TargetMode="External"/><Relationship Id="rId3jjeng8wecklomlv9plj9" Type="http://schemas.openxmlformats.org/officeDocument/2006/relationships/hyperlink" Target="https://www.qanu.ai/en/templates/partners-resolution" TargetMode="External"/><Relationship Id="rIdqzmadne8aqprf8dnchzxp" Type="http://schemas.openxmlformats.org/officeDocument/2006/relationships/hyperlink" Target="https://www.qanu.ai/en/glossary/beneficial-owner" TargetMode="External"/><Relationship Id="rIdbc21kmcel8kfvja-qyy7i" Type="http://schemas.openxmlformats.org/officeDocument/2006/relationships/hyperlink" Target="https://creativecommons.org/licenses/by/4.0/deed.en" TargetMode="External"/><Relationship Id="rIdgrfa1iq6cmwvnnmp9dprz" Type="http://schemas.openxmlformats.org/officeDocument/2006/relationships/hyperlink" Target="https://laws.boe.gov.sa/BoeLaws/Laws/LawDetails/a8376aea-1bc3-49d4-9027-aed900b555af/1" TargetMode="External"/><Relationship Id="rIdujomqrk2d314pxjbqn9ow" Type="http://schemas.openxmlformats.org/officeDocument/2006/relationships/hyperlink" Target="https://u.ae/en/information-and-services/business/Doing-business/doing-business-on-the-mainland/full-foreign-ownership-of-commercial-companies" TargetMode="External"/><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Share transfer agreement template</dc:title>
  <dc:creator>Qanu</dc:creator>
  <cp:keywords>Share transfer, Limited liability company, Pre-emption, GCC</cp:keywords>
  <dc:description>This is a template, not legal advice. It does not create a lawyer–client relationship. Court rules, regulator guidance and laws change; check the official sources linked and have the contract reviewed by qualified counsel in each relevant jurisdiction. Last reviewed: 22 October 2026. Have it reviewed by a lawyer licensed in your jurisdiction before use. Where an official form or platform is mandatory, it prevails.</dc:description>
  <cp:lastModifiedBy>Qanu</cp:lastModifiedBy>
  <cp:revision>1</cp:revision>
  <dcterms:created xsi:type="dcterms:W3CDTF">2026-10-23T18:59:24.511Z</dcterms:created>
  <dcterms:modified xsi:type="dcterms:W3CDTF">2026-10-23T18:59:24.511Z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icense">
    <vt:lpwstr>https://creativecommons.org/licenses/by/4.0/</vt:lpwstr>
  </property>
  <property fmtid="{D5CDD505-2E9C-101B-9397-08002B2CF9AE}" pid="3" name="Source">
    <vt:lpwstr>https://www.qanu.ai/en/templates/share-transfer-agreement</vt:lpwstr>
  </property>
</Properties>
</file>