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A power of attorney takes effect only once it is issued through the official channel.</w:t>
      </w:r>
      <w:r>
        <w:rPr>
          <w:rtl w:val="false"/>
        </w:rPr>
        <w:t xml:space="preserve"> In Saudi Arabia, issue the instrument on Najiz. An electronic power of attorney does not run for more than one year.</w:t>
      </w:r>
      <w:r>
        <w:rPr>
          <w:rtl w:val="false"/>
        </w:rPr>
        <w:t xml:space="preserve"> [1]</w:t>
      </w:r>
      <w:r>
        <w:rPr>
          <w:rtl w:val="false"/>
        </w:rPr>
        <w:t xml:space="preserve"> A special agency is valid for a defined type of act (Article 483). Any act beyond administration needs a special agency (Article 484).</w:t>
      </w:r>
      <w:r>
        <w:rPr>
          <w:rtl w:val="false"/>
        </w:rPr>
        <w:t xml:space="preserve"> [6]</w:t>
      </w:r>
      <w:r>
        <w:rPr>
          <w:rtl w:val="false"/>
        </w:rPr>
        <w:t xml:space="preserve"> In Abu Dhabi a notary public notarises customary documents.</w:t>
      </w:r>
      <w:r>
        <w:rPr>
          <w:rtl w:val="false"/>
        </w:rPr>
        <w:t xml:space="preserve"> [4]</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Issue a power of attorney: </w:t>
      </w:r>
      <w:hyperlink w:history="1" r:id="rIdxtexvrxiaizwyn-dgitzz">
        <w:r>
          <w:rPr>
            <w:rStyle w:val="Hyperlink"/>
            <w:sz w:val="17"/>
            <w:szCs w:val="17"/>
          </w:rPr>
          <w:t xml:space="preserve">https://www.moj.gov.sa/ar/eServices/pages/3472d517-7cb4-4cd5-a6bc-2abc9751eea3.aspx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Najiz: </w:t>
      </w:r>
      <w:hyperlink w:history="1" r:id="rId7kfzeunanzrx5wq1vn0w0">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Abu Dhabi notary public: </w:t>
      </w:r>
      <w:hyperlink w:history="1" r:id="rIdxb88s7jarengeogmzltq6">
        <w:r>
          <w:rPr>
            <w:rStyle w:val="Hyperlink"/>
            <w:sz w:val="17"/>
            <w:szCs w:val="17"/>
          </w:rPr>
          <w:t xml:space="preserve">https://www.adjd.gov.ae/EN/Pages/notarypublics.aspx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e-Notary: </w:t>
      </w:r>
      <w:hyperlink w:history="1" r:id="rIdqxmcjuxwjv9feyvykdvhi">
        <w:r>
          <w:rPr>
            <w:rStyle w:val="Hyperlink"/>
            <w:sz w:val="17"/>
            <w:szCs w:val="17"/>
          </w:rPr>
          <w:t xml:space="preserve">https://www.moj.gov.ae/en/services/esystems/e-notary.aspx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Oman:</w:t>
      </w:r>
      <w:r>
        <w:rPr>
          <w:sz w:val="19"/>
          <w:szCs w:val="19"/>
          <w:rtl w:val="false"/>
        </w:rPr>
        <w:t xml:space="preserve"> an agency is special if it is limited to one or more defined matters (Article 675).</w:t>
      </w:r>
      <w:r>
        <w:rPr>
          <w:sz w:val="19"/>
          <w:szCs w:val="19"/>
          <w:rtl w:val="false"/>
        </w:rPr>
        <w:t xml:space="preserve"> [7]</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UAE:</w:t>
      </w:r>
      <w:r>
        <w:rPr>
          <w:sz w:val="19"/>
          <w:szCs w:val="19"/>
          <w:rtl w:val="false"/>
        </w:rPr>
        <w:t xml:space="preserve"> an agency may be general, special, conditional or deferred (Federal Decree-Law No. 25 of 2025, Article 869, in force 1 June 2026).</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Bahrain, Qatar, Kuwait:</w:t>
      </w:r>
      <w:r>
        <w:rPr>
          <w:sz w:val="19"/>
          <w:szCs w:val="19"/>
          <w:rtl w:val="false"/>
        </w:rPr>
        <w:t xml:space="preserve"> the special-agency articles are under review. No article number is stated.</w:t>
      </w:r>
    </w:p>
    <w:p>
      <w:pPr>
        <w:bidi w:val="false"/>
        <w:spacing w:after="240"/>
      </w:pPr>
    </w:p>
    <w:p>
      <w:pPr>
        <w:pStyle w:val="Title"/>
        <w:bidi w:val="false"/>
      </w:pPr>
      <w:r>
        <w:rPr>
          <w:rtl w:val="false"/>
        </w:rPr>
        <w:t xml:space="preserve">Special power of attorney</w:t>
      </w:r>
    </w:p>
    <w:p>
      <w:pPr>
        <w:bidi w:val="false"/>
        <w:spacing w:after="240"/>
      </w:pPr>
      <w:r>
        <w:rPr>
          <w:color w:val="444444"/>
          <w:rtl w:val="false"/>
        </w:rPr>
        <w:t xml:space="preserve">A draft special power of attorney for the UAE and the wider GCC: parties, one named act, limits, duration and revocation. It is not a general power of attorney and not a substitute for the issued instrument.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r>
        <w:rPr>
          <w:rtl w:val="false"/>
        </w:rPr>
        <w:t xml:space="preserve">1. Parties</w:t>
      </w:r>
    </w:p>
    <w:p>
      <w:pPr>
        <w:bidi w:val="false"/>
      </w:pPr>
      <w:r>
        <w:rPr>
          <w:rtl w:val="false"/>
        </w:rPr>
        <w:t xml:space="preserve">I, </w:t>
      </w:r>
      <w:r>
        <w:rPr>
          <w:highlight w:val="yellow"/>
          <w:rtl w:val="false"/>
        </w:rPr>
        <w:t xml:space="preserve">[</w:t>
      </w:r>
      <w:r>
        <w:rPr>
          <w:highlight w:val="yellow"/>
          <w:rtl w:val="false"/>
        </w:rPr>
        <w:t xml:space="preserve">Principal: name, ID, address</w:t>
      </w:r>
      <w:r>
        <w:rPr>
          <w:highlight w:val="yellow"/>
          <w:rtl w:val="false"/>
        </w:rPr>
        <w:t xml:space="preserve">]</w:t>
      </w:r>
      <w:r>
        <w:rPr>
          <w:rtl w:val="false"/>
        </w:rPr>
        <w:t xml:space="preserve">, being of full capacity, appoint </w:t>
      </w:r>
      <w:r>
        <w:rPr>
          <w:highlight w:val="yellow"/>
          <w:rtl w:val="false"/>
        </w:rPr>
        <w:t xml:space="preserve">[</w:t>
      </w:r>
      <w:r>
        <w:rPr>
          <w:highlight w:val="yellow"/>
          <w:rtl w:val="false"/>
        </w:rPr>
        <w:t xml:space="preserve">Agent: name, ID, address</w:t>
      </w:r>
      <w:r>
        <w:rPr>
          <w:highlight w:val="yellow"/>
          <w:rtl w:val="false"/>
        </w:rPr>
        <w:t xml:space="preserve">]</w:t>
      </w:r>
      <w:r>
        <w:rPr>
          <w:rtl w:val="false"/>
        </w:rPr>
        <w:t xml:space="preserve"> to act for me in the single act named in clause 2.</w:t>
      </w:r>
    </w:p>
    <w:p>
      <w:pPr>
        <w:bidi w:val="false"/>
      </w:pPr>
      <w:r>
        <w:rPr>
          <w:rtl w:val="false"/>
        </w:rPr>
        <w:t xml:space="preserve">The Principal’s capacity: </w:t>
      </w:r>
      <w:r>
        <w:rPr>
          <w:highlight w:val="yellow"/>
          <w:rtl w:val="false"/>
        </w:rPr>
        <w:t xml:space="preserve">[</w:t>
      </w:r>
      <w:r>
        <w:rPr>
          <w:highlight w:val="yellow"/>
          <w:rtl w:val="false"/>
        </w:rPr>
        <w:t xml:space="preserve">in person / as agent under a power of attorney / owner of an establishment / representative of a company</w:t>
      </w:r>
      <w:r>
        <w:rPr>
          <w:highlight w:val="yellow"/>
          <w:rtl w:val="false"/>
        </w:rPr>
        <w:t xml:space="preserve">]</w:t>
      </w:r>
      <w:r>
        <w:rPr>
          <w:rtl w:val="false"/>
        </w:rPr>
        <w:t xml:space="preserve">.</w:t>
      </w:r>
    </w:p>
    <w:p>
      <w:pPr>
        <w:pStyle w:val="Heading1"/>
        <w:bidi w:val="false"/>
      </w:pPr>
      <w:commentRangeStart w:id="0"/>
      <w:r>
        <w:rPr>
          <w:rtl w:val="false"/>
        </w:rPr>
        <w:t xml:space="preserve">2. The named act</w:t>
      </w:r>
      <w:commentRangeEnd w:id="0"/>
      <w:r>
        <w:rPr>
          <w:rtl w:val="false"/>
        </w:rPr>
        <w:commentReference w:id="0"/>
      </w:r>
    </w:p>
    <w:p>
      <w:pPr>
        <w:bidi w:val="false"/>
      </w:pPr>
      <w:r>
        <w:rPr>
          <w:rtl w:val="false"/>
        </w:rPr>
        <w:t xml:space="preserve">This instrument is a </w:t>
      </w:r>
      <w:r>
        <w:rPr>
          <w:b/>
          <w:bCs/>
          <w:rtl w:val="false"/>
        </w:rPr>
        <w:t xml:space="preserve">special</w:t>
      </w:r>
      <w:r>
        <w:rPr>
          <w:rtl w:val="false"/>
        </w:rPr>
        <w:t xml:space="preserve"> power of attorney. It is limited to this act: </w:t>
      </w:r>
      <w:r>
        <w:rPr>
          <w:highlight w:val="yellow"/>
          <w:rtl w:val="false"/>
        </w:rPr>
        <w:t xml:space="preserve">[</w:t>
      </w:r>
      <w:r>
        <w:rPr>
          <w:highlight w:val="yellow"/>
          <w:rtl w:val="false"/>
        </w:rPr>
        <w:t xml:space="preserve">describe the sale / claim / bank act / company filing / other named transaction</w:t>
      </w:r>
      <w:r>
        <w:rPr>
          <w:highlight w:val="yellow"/>
          <w:rtl w:val="false"/>
        </w:rPr>
        <w:t xml:space="preserve">]</w:t>
      </w:r>
      <w:r>
        <w:rPr>
          <w:rtl w:val="false"/>
        </w:rPr>
        <w:t xml:space="preserve">, before </w:t>
      </w:r>
      <w:r>
        <w:rPr>
          <w:highlight w:val="yellow"/>
          <w:rtl w:val="false"/>
        </w:rPr>
        <w:t xml:space="preserve">[</w:t>
      </w:r>
      <w:r>
        <w:rPr>
          <w:highlight w:val="yellow"/>
          <w:rtl w:val="false"/>
        </w:rPr>
        <w:t xml:space="preserve">the body</w:t>
      </w:r>
      <w:r>
        <w:rPr>
          <w:highlight w:val="yellow"/>
          <w:rtl w:val="false"/>
        </w:rPr>
        <w:t xml:space="preserve">]</w:t>
      </w:r>
      <w:r>
        <w:rPr>
          <w:rtl w:val="false"/>
        </w:rPr>
        <w:t xml:space="preserve">, and not beyond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1"/>
      <w:r>
        <w:rPr>
          <w:rtl w:val="false"/>
        </w:rPr>
        <w:t xml:space="preserve">3. What the Agent may do for that act</w:t>
      </w:r>
      <w:commentRangeEnd w:id="1"/>
      <w:r>
        <w:rPr>
          <w:rtl w:val="false"/>
        </w:rPr>
        <w:commentReference w:id="1"/>
      </w:r>
    </w:p>
    <w:p>
      <w:pPr>
        <w:bidi w:val="false"/>
      </w:pPr>
      <w:r>
        <w:rPr>
          <w:rtl w:val="false"/>
        </w:rPr>
        <w:t xml:space="preserve">For the act in clause 2 only, the Agent may: lodge and receive documents, sign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collect notices, and </w:t>
      </w:r>
      <w:r>
        <w:rPr>
          <w:highlight w:val="yellow"/>
          <w:rtl w:val="false"/>
        </w:rPr>
        <w:t xml:space="preserve">[</w:t>
      </w:r>
      <w:r>
        <w:rPr>
          <w:highlight w:val="yellow"/>
          <w:rtl w:val="false"/>
        </w:rPr>
        <w:t xml:space="preserve">other incidental steps</w:t>
      </w:r>
      <w:r>
        <w:rPr>
          <w:highlight w:val="yellow"/>
          <w:rtl w:val="false"/>
        </w:rPr>
        <w:t xml:space="preserve">]</w:t>
      </w:r>
      <w:r>
        <w:rPr>
          <w:rtl w:val="false"/>
        </w:rPr>
        <w:t xml:space="preserve">. The Agent may not gift, settle, release, waive a right, borrow, or dispose of other property unless clause 2 says so in terms.</w:t>
      </w:r>
    </w:p>
    <w:p>
      <w:pPr>
        <w:pStyle w:val="Heading1"/>
        <w:bidi w:val="false"/>
      </w:pPr>
      <w:r>
        <w:rPr>
          <w:rtl w:val="false"/>
        </w:rPr>
        <w:t xml:space="preserve">4. Right to delegate</w:t>
      </w:r>
    </w:p>
    <w:p>
      <w:pPr>
        <w:bidi w:val="false"/>
      </w:pPr>
      <w:r>
        <w:rPr>
          <w:b/>
          <w:bCs/>
          <w:rtl w:val="false"/>
        </w:rPr>
        <w:t xml:space="preserve">Option:</w:t>
      </w:r>
      <w:r>
        <w:rPr>
          <w:rtl w:val="false"/>
        </w:rPr>
        <w:t xml:space="preserve"> the Agent may not appoint a substitute.</w:t>
      </w:r>
    </w:p>
    <w:p>
      <w:pPr>
        <w:bidi w:val="false"/>
      </w:pPr>
      <w:r>
        <w:rPr>
          <w:b/>
          <w:bCs/>
          <w:rtl w:val="false"/>
        </w:rPr>
        <w:t xml:space="preserve">Option:</w:t>
      </w:r>
      <w:r>
        <w:rPr>
          <w:rtl w:val="false"/>
        </w:rPr>
        <w:t xml:space="preserve"> the Agent may appoint a substitute within </w:t>
      </w:r>
      <w:r>
        <w:rPr>
          <w:highlight w:val="yellow"/>
          <w:rtl w:val="false"/>
        </w:rPr>
        <w:t xml:space="preserve">[</w:t>
      </w:r>
      <w:r>
        <w:rPr>
          <w:highlight w:val="yellow"/>
          <w:rtl w:val="false"/>
        </w:rPr>
        <w:t xml:space="preserve">limits</w:t>
      </w:r>
      <w:r>
        <w:rPr>
          <w:highlight w:val="yellow"/>
          <w:rtl w:val="false"/>
        </w:rPr>
        <w:t xml:space="preserve">]</w:t>
      </w:r>
      <w:r>
        <w:rPr>
          <w:rtl w:val="false"/>
        </w:rPr>
        <w:t xml:space="preserve">, and remains responsible for that choice.</w:t>
      </w:r>
    </w:p>
    <w:p>
      <w:pPr>
        <w:pStyle w:val="Heading1"/>
        <w:bidi w:val="false"/>
      </w:pPr>
      <w:commentRangeStart w:id="2"/>
      <w:r>
        <w:rPr>
          <w:rtl w:val="false"/>
        </w:rPr>
        <w:t xml:space="preserve">5. Duration and expiry</w:t>
      </w:r>
      <w:commentRangeEnd w:id="2"/>
      <w:r>
        <w:rPr>
          <w:rtl w:val="false"/>
        </w:rPr>
        <w:commentReference w:id="2"/>
      </w:r>
    </w:p>
    <w:p>
      <w:pPr>
        <w:bidi w:val="false"/>
      </w:pPr>
      <w:r>
        <w:rPr>
          <w:rtl w:val="false"/>
        </w:rPr>
        <w:t xml:space="preserve">This power of attorney runs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until </w:t>
      </w:r>
      <w:r>
        <w:rPr>
          <w:highlight w:val="yellow"/>
          <w:rtl w:val="false"/>
        </w:rPr>
        <w:t xml:space="preserve">[</w:t>
      </w:r>
      <w:r>
        <w:rPr>
          <w:highlight w:val="yellow"/>
          <w:rtl w:val="false"/>
        </w:rPr>
        <w:t xml:space="preserve">date or completion of the named act</w:t>
      </w:r>
      <w:r>
        <w:rPr>
          <w:highlight w:val="yellow"/>
          <w:rtl w:val="false"/>
        </w:rPr>
        <w:t xml:space="preserve">]</w:t>
      </w:r>
      <w:r>
        <w:rPr>
          <w:rtl w:val="false"/>
        </w:rPr>
        <w:t xml:space="preserve">, unless it ends sooner by revocation, withdrawal or death.</w:t>
      </w:r>
    </w:p>
    <w:p>
      <w:pPr>
        <w:pStyle w:val="Heading1"/>
        <w:bidi w:val="false"/>
      </w:pPr>
      <w:commentRangeStart w:id="3"/>
      <w:r>
        <w:rPr>
          <w:rtl w:val="false"/>
        </w:rPr>
        <w:t xml:space="preserve">6. Revocation</w:t>
      </w:r>
      <w:commentRangeEnd w:id="3"/>
      <w:r>
        <w:rPr>
          <w:rtl w:val="false"/>
        </w:rPr>
        <w:commentReference w:id="3"/>
      </w:r>
    </w:p>
    <w:p>
      <w:pPr>
        <w:bidi w:val="false"/>
      </w:pPr>
      <w:r>
        <w:rPr>
          <w:rtl w:val="false"/>
        </w:rPr>
        <w:t xml:space="preserve">The Principal may revoke the Agent by written notice. The Agent may withdraw by written notice. Tell the other party, and any third party dealing with the Agent, when that is possible.</w:t>
      </w:r>
    </w:p>
    <w:p>
      <w:pPr>
        <w:pStyle w:val="Heading1"/>
        <w:bidi w:val="false"/>
      </w:pPr>
      <w:r>
        <w:rPr>
          <w:rtl w:val="false"/>
        </w:rPr>
        <w:t xml:space="preserve">7. How to use this draft</w:t>
      </w:r>
    </w:p>
    <w:p>
      <w:pPr>
        <w:bidi w:val="false"/>
      </w:pPr>
      <w:r>
        <w:rPr>
          <w:rtl w:val="false"/>
        </w:rPr>
        <w:t xml:space="preserve">Use this draft to settle the wording. The power of attorney that works is the one issued on Najiz or before the competent notary. If the Arabic and English texts conflict, the Arabic text prevails in Saudi Arabia. This is a starting point. Have it reviewed by a lawyer licensed in the relevant jurisdiction before you use it.</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Principal:</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Agent:</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UAE notes</w:t>
      </w:r>
    </w:p>
    <w:p>
      <w:pPr>
        <w:bidi w:val="false"/>
      </w:pPr>
      <w:r>
        <w:rPr>
          <w:rtl w:val="false"/>
        </w:rPr>
        <w:t xml:space="preserve">What was read on the Abu Dhabi Judicial Department notary page.</w:t>
      </w:r>
      <w:r>
        <w:rPr>
          <w:rtl w:val="false"/>
        </w:rPr>
        <w:t xml:space="preserve"> [4][5]</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page supports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w:t>
            </w:r>
          </w:p>
        </w:tc>
        <w:tc>
          <w:tcPr>
            <w:tcMar>
              <w:top w:type="dxa" w:w="80"/>
              <w:left w:type="dxa" w:w="100"/>
              <w:bottom w:type="dxa" w:w="80"/>
              <w:right w:type="dxa" w:w="100"/>
            </w:tcMar>
          </w:tcPr>
          <w:p>
            <w:pPr>
              <w:bidi w:val="false"/>
              <w:spacing w:after="0"/>
            </w:pPr>
            <w:r>
              <w:rPr>
                <w:b w:val="false"/>
                <w:sz w:val="18"/>
                <w:szCs w:val="18"/>
                <w:rtl w:val="false"/>
              </w:rPr>
              <w:t xml:space="preserve">A notary public notarises customary documents. A document is not notarised if it violates the law or public order.</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English</w:t>
            </w:r>
          </w:p>
        </w:tc>
        <w:tc>
          <w:tcPr>
            <w:tcMar>
              <w:top w:type="dxa" w:w="80"/>
              <w:left w:type="dxa" w:w="100"/>
              <w:bottom w:type="dxa" w:w="80"/>
              <w:right w:type="dxa" w:w="100"/>
            </w:tcMar>
          </w:tcPr>
          <w:p>
            <w:pPr>
              <w:bidi w:val="false"/>
              <w:spacing w:after="0"/>
            </w:pPr>
            <w:r>
              <w:rPr>
                <w:b w:val="false"/>
                <w:sz w:val="18"/>
                <w:szCs w:val="18"/>
                <w:rtl w:val="false"/>
              </w:rPr>
              <w:t xml:space="preserve">The Department has an English-language notary services bureau.</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 and the northern emirates</w:t>
            </w:r>
          </w:p>
        </w:tc>
        <w:tc>
          <w:tcPr>
            <w:tcMar>
              <w:top w:type="dxa" w:w="80"/>
              <w:left w:type="dxa" w:w="100"/>
              <w:bottom w:type="dxa" w:w="80"/>
              <w:right w:type="dxa" w:w="100"/>
            </w:tcMar>
          </w:tcPr>
          <w:p>
            <w:pPr>
              <w:bidi w:val="false"/>
              <w:spacing w:after="0"/>
            </w:pPr>
            <w:r>
              <w:rPr>
                <w:b w:val="false"/>
                <w:sz w:val="18"/>
                <w:szCs w:val="18"/>
                <w:rtl w:val="false"/>
              </w:rPr>
              <w:t xml:space="preserve">The notary route is under review. Ask the receiving body.</w:t>
            </w:r>
          </w:p>
        </w:tc>
      </w:tr>
    </w:tbl>
    <w:p>
      <w:pPr>
        <w:bidi w:val="false"/>
      </w:pPr>
    </w:p>
    <w:p>
      <w:pPr>
        <w:pStyle w:val="Heading1"/>
        <w:pageBreakBefore/>
        <w:bidi w:val="false"/>
      </w:pPr>
      <w:r>
        <w:rPr>
          <w:rtl w:val="false"/>
        </w:rPr>
        <w:t xml:space="preserve">Saudi Arabia notes</w:t>
      </w:r>
    </w:p>
    <w:p>
      <w:pPr>
        <w:bidi w:val="false"/>
      </w:pPr>
      <w:r>
        <w:rPr>
          <w:rtl w:val="false"/>
        </w:rPr>
        <w:t xml:space="preserve">What the service card and the Civil Transactions Law support.</w:t>
      </w:r>
      <w:r>
        <w:rPr>
          <w:rtl w:val="false"/>
        </w:rPr>
        <w:t xml:space="preserve"> [1][6]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text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Special agency</w:t>
            </w:r>
          </w:p>
        </w:tc>
        <w:tc>
          <w:tcPr>
            <w:tcMar>
              <w:top w:type="dxa" w:w="80"/>
              <w:left w:type="dxa" w:w="100"/>
              <w:bottom w:type="dxa" w:w="80"/>
              <w:right w:type="dxa" w:w="100"/>
            </w:tcMar>
          </w:tcPr>
          <w:p>
            <w:pPr>
              <w:bidi w:val="false"/>
              <w:spacing w:after="0"/>
            </w:pPr>
            <w:r>
              <w:rPr>
                <w:b w:val="false"/>
                <w:sz w:val="18"/>
                <w:szCs w:val="18"/>
                <w:rtl w:val="false"/>
              </w:rPr>
              <w:t xml:space="preserve">Valid for a defined type of act (Article 483).</w:t>
            </w:r>
            <w:r>
              <w:rPr>
                <w:b w:val="false"/>
                <w:sz w:val="18"/>
                <w:szCs w:val="18"/>
                <w:rtl w:val="false"/>
              </w:rPr>
              <w:t xml:space="preserve"> [6]</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Beyond administration</w:t>
            </w:r>
          </w:p>
        </w:tc>
        <w:tc>
          <w:tcPr>
            <w:tcMar>
              <w:top w:type="dxa" w:w="80"/>
              <w:left w:type="dxa" w:w="100"/>
              <w:bottom w:type="dxa" w:w="80"/>
              <w:right w:type="dxa" w:w="100"/>
            </w:tcMar>
          </w:tcPr>
          <w:p>
            <w:pPr>
              <w:bidi w:val="false"/>
              <w:spacing w:after="0"/>
            </w:pPr>
            <w:r>
              <w:rPr>
                <w:b w:val="false"/>
                <w:sz w:val="18"/>
                <w:szCs w:val="18"/>
                <w:rtl w:val="false"/>
              </w:rPr>
              <w:t xml:space="preserve">Needs a special agency (Article 484).</w:t>
            </w:r>
            <w:r>
              <w:rPr>
                <w:b w:val="false"/>
                <w:sz w:val="18"/>
                <w:szCs w:val="18"/>
                <w:rtl w:val="false"/>
              </w:rPr>
              <w:t xml:space="preserve"> [6]</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Issue</w:t>
            </w:r>
          </w:p>
        </w:tc>
        <w:tc>
          <w:tcPr>
            <w:tcMar>
              <w:top w:type="dxa" w:w="80"/>
              <w:left w:type="dxa" w:w="100"/>
              <w:bottom w:type="dxa" w:w="80"/>
              <w:right w:type="dxa" w:w="100"/>
            </w:tcMar>
          </w:tcPr>
          <w:p>
            <w:pPr>
              <w:bidi w:val="false"/>
              <w:spacing w:after="0"/>
            </w:pPr>
            <w:r>
              <w:rPr>
                <w:b w:val="false"/>
                <w:sz w:val="18"/>
                <w:szCs w:val="18"/>
                <w:rtl w:val="false"/>
              </w:rPr>
              <w:t xml:space="preserve">Issue on Najiz. Electronic term does not exceed one year.</w:t>
            </w:r>
            <w:r>
              <w:rPr>
                <w:b w:val="false"/>
                <w:sz w:val="18"/>
                <w:szCs w:val="18"/>
                <w:rtl w:val="false"/>
              </w:rPr>
              <w:t xml:space="preserve"> [1]</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y82g4uq8e1xeskwmgrdj9">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https://www.qanu.ai/en/templates/special-power-of-attorney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Saudi Ministry of Justice, e-service “Issue a power of attorney” (إصدار وكالة) on Najiz </w:t>
      </w:r>
      <w:hyperlink w:history="1" r:id="rIdgm8wo4klj-nl8hkodkpbu">
        <w:r>
          <w:rPr>
            <w:rStyle w:val="Hyperlink"/>
            <w:sz w:val="16"/>
            <w:szCs w:val="16"/>
          </w:rPr>
          <w:t xml:space="preserve">https://www.moj.gov.sa/ar/eServices/pages/3472d517-7cb4-4cd5-a6bc-2abc9751eea3.aspx</w:t>
        </w:r>
      </w:hyperlink>
    </w:p>
    <w:p>
      <w:pPr>
        <w:bidi w:val="false"/>
        <w:ind w:start="360" w:hanging="360"/>
      </w:pPr>
      <w:r>
        <w:rPr>
          <w:sz w:val="18"/>
          <w:szCs w:val="18"/>
          <w:rtl w:val="false"/>
        </w:rPr>
        <w:t xml:space="preserve">[2] Najiz, Ministry of Justice electronic-services portal </w:t>
      </w:r>
      <w:hyperlink w:history="1" r:id="rIddmi29c7qbn3osdhm870vu">
        <w:r>
          <w:rPr>
            <w:rStyle w:val="Hyperlink"/>
            <w:sz w:val="16"/>
            <w:szCs w:val="16"/>
          </w:rPr>
          <w:t xml:space="preserve">https://najiz.sa/applications/landing</w:t>
        </w:r>
      </w:hyperlink>
    </w:p>
    <w:p>
      <w:pPr>
        <w:bidi w:val="false"/>
        <w:ind w:start="360" w:hanging="360"/>
      </w:pPr>
      <w:r>
        <w:rPr>
          <w:sz w:val="18"/>
          <w:szCs w:val="18"/>
          <w:rtl w:val="false"/>
        </w:rPr>
        <w:t xml:space="preserve">[3] Saudi Ministry of Justice, e-service “Statement of claim” (صحيفة دعوى) on Najiz </w:t>
      </w:r>
      <w:hyperlink w:history="1" r:id="rIdk6__ihl9kklklvlucgjvq">
        <w:r>
          <w:rPr>
            <w:rStyle w:val="Hyperlink"/>
            <w:sz w:val="16"/>
            <w:szCs w:val="16"/>
          </w:rPr>
          <w:t xml:space="preserve">https://www.moj.gov.sa/ar/eServices/Pages/928b8f02-19a7-482b-ba0e-29a151d9a900.aspx</w:t>
        </w:r>
      </w:hyperlink>
    </w:p>
    <w:p>
      <w:pPr>
        <w:bidi w:val="false"/>
        <w:ind w:start="360" w:hanging="360"/>
      </w:pPr>
      <w:r>
        <w:rPr>
          <w:sz w:val="18"/>
          <w:szCs w:val="18"/>
          <w:rtl w:val="false"/>
        </w:rPr>
        <w:t xml:space="preserve">[4] Abu Dhabi Judicial Department, Notary Public </w:t>
      </w:r>
      <w:hyperlink w:history="1" r:id="rIdyo0sylhfad920h7qqcnnv">
        <w:r>
          <w:rPr>
            <w:rStyle w:val="Hyperlink"/>
            <w:sz w:val="16"/>
            <w:szCs w:val="16"/>
          </w:rPr>
          <w:t xml:space="preserve">https://www.adjd.gov.ae/EN/Pages/notarypublics.aspx</w:t>
        </w:r>
      </w:hyperlink>
    </w:p>
    <w:p>
      <w:pPr>
        <w:bidi w:val="false"/>
        <w:ind w:start="360" w:hanging="360"/>
      </w:pPr>
      <w:r>
        <w:rPr>
          <w:sz w:val="18"/>
          <w:szCs w:val="18"/>
          <w:rtl w:val="false"/>
        </w:rPr>
        <w:t xml:space="preserve">[5] UAE Ministry of Justice, e-Notary system </w:t>
      </w:r>
      <w:hyperlink w:history="1" r:id="rId8fofrhj314s_ldulrrlku">
        <w:r>
          <w:rPr>
            <w:rStyle w:val="Hyperlink"/>
            <w:sz w:val="16"/>
            <w:szCs w:val="16"/>
          </w:rPr>
          <w:t xml:space="preserve">https://www.moj.gov.ae/en/services/esystems/e-notary.aspx</w:t>
        </w:r>
      </w:hyperlink>
    </w:p>
    <w:p>
      <w:pPr>
        <w:bidi w:val="false"/>
        <w:ind w:start="360" w:hanging="360"/>
      </w:pPr>
      <w:r>
        <w:rPr>
          <w:sz w:val="18"/>
          <w:szCs w:val="18"/>
          <w:rtl w:val="false"/>
        </w:rPr>
        <w:t xml:space="preserve">[6] Bureau of Experts, Civil Transactions Law (Royal Decree No. M/191 of 29/11/1444H) </w:t>
      </w:r>
      <w:hyperlink w:history="1" r:id="rIdqpf7sl0mrnfg1p8i-tgcn">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[7] Civil Transactions Law, Oman Royal Decree 29/2013 (text read on qanoon.om, a non-government mirror; the official listing is on mjla.gov.om) </w:t>
      </w:r>
      <w:hyperlink w:history="1" r:id="rIdlckv4x7qnvg3lk0rsoiyy">
        <w:r>
          <w:rPr>
            <w:rStyle w:val="Hyperlink"/>
            <w:sz w:val="16"/>
            <w:szCs w:val="16"/>
          </w:rPr>
          <w:t xml:space="preserve">https://qanoon.om/p/2013/rd2013029/</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Name the act. In Saudi Arabia a special agency is valid for a defined type of act (Article 483). General words that do not specify the type of act are not valid (Article 482).</w:t>
      </w:r>
      <w:r>
        <w:rPr>
          <w:rtl w:val="false"/>
        </w:rPr>
        <w:t xml:space="preserve"> [6]</w:t>
      </w:r>
    </w:p>
  </w:comment>
  <w:comment w:id="1" w:initials="Q" w:author="Qanu" w:date="2026-10-29T00:00:00.000Z">
    <w:p>
      <w:pPr>
        <w:bidi w:val="false"/>
      </w:pPr>
      <w:r>
        <w:rPr>
          <w:b/>
          <w:bCs/>
          <w:rtl w:val="false"/>
        </w:rPr>
        <w:t xml:space="preserve">Drafting note</w:t>
      </w:r>
    </w:p>
    <w:p>
      <w:pPr>
        <w:bidi w:val="false"/>
      </w:pPr>
      <w:r>
        <w:rPr>
          <w:rtl w:val="false"/>
        </w:rPr>
        <w:t xml:space="preserve">If an agent files a statement of claim on Najiz, the power of attorney must be in force and include authority to plead.</w:t>
      </w:r>
      <w:r>
        <w:rPr>
          <w:rtl w:val="false"/>
        </w:rPr>
        <w:t xml:space="preserve"> [3]</w:t>
      </w:r>
    </w:p>
  </w:comment>
  <w:comment w:id="2" w:initials="Q" w:author="Qanu" w:date="2026-10-29T00:00:00.000Z">
    <w:p>
      <w:pPr>
        <w:bidi w:val="false"/>
      </w:pPr>
      <w:r>
        <w:rPr>
          <w:b/>
          <w:bCs/>
          <w:rtl w:val="false"/>
        </w:rPr>
        <w:t xml:space="preserve">Drafting note</w:t>
      </w:r>
    </w:p>
    <w:p>
      <w:pPr>
        <w:bidi w:val="false"/>
      </w:pPr>
      <w:r>
        <w:rPr>
          <w:rtl w:val="false"/>
        </w:rPr>
        <w:t xml:space="preserve">An electronic power of attorney on Najiz does not exceed one year.</w:t>
      </w:r>
      <w:r>
        <w:rPr>
          <w:rtl w:val="false"/>
        </w:rPr>
        <w:t xml:space="preserve"> [1]</w:t>
      </w:r>
    </w:p>
  </w:comment>
  <w:comment w:id="3" w:initials="Q" w:author="Qanu" w:date="2026-10-29T00:00:00.000Z">
    <w:p>
      <w:pPr>
        <w:bidi w:val="false"/>
      </w:pPr>
      <w:r>
        <w:rPr>
          <w:b/>
          <w:bCs/>
          <w:rtl w:val="false"/>
        </w:rPr>
        <w:t xml:space="preserve">Drafting note</w:t>
      </w:r>
    </w:p>
    <w:p>
      <w:pPr>
        <w:bidi w:val="false"/>
      </w:pPr>
      <w:r>
        <w:rPr>
          <w:rtl w:val="false"/>
        </w:rPr>
        <w:t xml:space="preserve">Either party may partially withdraw on Najiz or in the Najiz app. It ends automatically if a party dies.</w:t>
      </w:r>
      <w:r>
        <w:rPr>
          <w:rtl w:val="false"/>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https://www.qanu.ai/en/templates/special-power-of-attorney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https://www.qanu.ai/en/templates/special-power-of-attorney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xtexvrxiaizwyn-dgitzz" Type="http://schemas.openxmlformats.org/officeDocument/2006/relationships/hyperlink" Target="https://www.moj.gov.sa/ar/eServices/pages/3472d517-7cb4-4cd5-a6bc-2abc9751eea3.aspx" TargetMode="External"/><Relationship Id="rId7kfzeunanzrx5wq1vn0w0" Type="http://schemas.openxmlformats.org/officeDocument/2006/relationships/hyperlink" Target="https://najiz.sa/applications/landing" TargetMode="External"/><Relationship Id="rIdxb88s7jarengeogmzltq6" Type="http://schemas.openxmlformats.org/officeDocument/2006/relationships/hyperlink" Target="https://www.adjd.gov.ae/EN/Pages/notarypublics.aspx" TargetMode="External"/><Relationship Id="rIdqxmcjuxwjv9feyvykdvhi" Type="http://schemas.openxmlformats.org/officeDocument/2006/relationships/hyperlink" Target="https://www.moj.gov.ae/en/services/esystems/e-notary.aspx" TargetMode="External"/><Relationship Id="rIdy82g4uq8e1xeskwmgrdj9" Type="http://schemas.openxmlformats.org/officeDocument/2006/relationships/hyperlink" Target="https://creativecommons.org/licenses/by/4.0/deed.en" TargetMode="External"/><Relationship Id="rIdgm8wo4klj-nl8hkodkpbu" Type="http://schemas.openxmlformats.org/officeDocument/2006/relationships/hyperlink" Target="https://www.moj.gov.sa/ar/eServices/pages/3472d517-7cb4-4cd5-a6bc-2abc9751eea3.aspx" TargetMode="External"/><Relationship Id="rIddmi29c7qbn3osdhm870vu" Type="http://schemas.openxmlformats.org/officeDocument/2006/relationships/hyperlink" Target="https://najiz.sa/applications/landing" TargetMode="External"/><Relationship Id="rIdk6__ihl9kklklvlucgjvq" Type="http://schemas.openxmlformats.org/officeDocument/2006/relationships/hyperlink" Target="https://www.moj.gov.sa/ar/eServices/Pages/928b8f02-19a7-482b-ba0e-29a151d9a900.aspx" TargetMode="External"/><Relationship Id="rIdyo0sylhfad920h7qqcnnv" Type="http://schemas.openxmlformats.org/officeDocument/2006/relationships/hyperlink" Target="https://www.adjd.gov.ae/EN/Pages/notarypublics.aspx" TargetMode="External"/><Relationship Id="rId8fofrhj314s_ldulrrlku" Type="http://schemas.openxmlformats.org/officeDocument/2006/relationships/hyperlink" Target="https://www.moj.gov.ae/en/services/esystems/e-notary.aspx" TargetMode="External"/><Relationship Id="rIdqpf7sl0mrnfg1p8i-tgcn" Type="http://schemas.openxmlformats.org/officeDocument/2006/relationships/hyperlink" Target="https://laws.boe.gov.sa/BoeLaws/Laws/LawDetails/655fdb42-8c96-422b-b8c4-b04f0095c94c/1" TargetMode="External"/><Relationship Id="rIdlckv4x7qnvg3lk0rsoiyy" Type="http://schemas.openxmlformats.org/officeDocument/2006/relationships/hyperlink" Target="https://qanoon.om/p/2013/rd201302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power of attorney template</dc:title>
  <dc:creator>Qanu</dc:creator>
  <cp:keywords>Special power of attorney, وكالة خاصة, UAE notary, Najiz</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2026-10-29T11:28:02.315Z</dcterms:created>
  <dcterms:modified xsi:type="dcterms:W3CDTF">2026-10-29T11:28:02.315Z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https://www.qanu.ai/en/templates/special-power-of-attorney</vt:lpwstr>
  </property>
</Properties>
</file>