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pPr>
      <w:r>
        <w:rPr>
          <w:b/>
          <w:bCs/>
          <w:rtl/>
        </w:rPr>
        <w:t xml:space="preserve">قيّدوا الصحيفة عبر ناجز إذا كانت الدعوى في المملكة.</w:t>
      </w:r>
      <w:r>
        <w:rPr>
          <w:rtl/>
        </w:rPr>
        <w:t xml:space="preserve"> في المملكة العربية السعودية تتيح خدمة «صحيفة دعوى» رفع دعوى في إحدى المحاكم: العامة، أو الجزائية، أو الحقوقية، أو التجارية، أو الأحوال الشخصية، أو العمالية، عبر منصة ناجز. والخدمة لا تتطلب زيارة المحكمة إلا إذا طلبت رسالة نصية من المستفيد المراجعة. وإذا كان مقدم الطلب وكيلاً فيلزم وكالة سارية تتضمن بند المرافعة.</w:t>
      </w:r>
      <w:r>
        <w:rPr>
          <w:rtl/>
        </w:rPr>
        <w:t xml:space="preserve"> [1]</w:t>
      </w:r>
      <w:r>
        <w:rPr>
          <w:rtl/>
        </w:rPr>
        <w:t xml:space="preserve"> أعدّوا الصحيفة هنا ثم قدّموها عبر ناجز. وفي الإمارات قيّدوا الدعوى في بوابة المحكمة المختصة، وتحققوا من لغة القيد التي تطلبها تلك المحكمة. وتنشر دائرة القضاء في أبوظبي خدمات المحاكم الإلكترونية، ومنها قيد الدعاوى.</w:t>
      </w:r>
      <w:r>
        <w:rPr>
          <w:rtl/>
        </w:rPr>
        <w:t xml:space="preserve"> [4]</w:t>
      </w:r>
      <w:r>
        <w:rPr>
          <w:rtl/>
        </w:rPr>
        <w:t xml:space="preserve"> ورابط محاكم دبي مُبقًى للدخول من شبكة تصل إليه.</w:t>
      </w:r>
      <w:r>
        <w:rPr>
          <w:rtl/>
        </w:rPr>
        <w:t xml:space="preserve"> [5]</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صحيفة دعوى: </w:t>
      </w:r>
      <w:hyperlink w:history="1" r:id="rId3ymdqsah1z0an4ckyddlh">
        <w:r>
          <w:rPr>
            <w:rStyle w:val="Hyperlink"/>
            <w:sz w:val="17"/>
            <w:szCs w:val="17"/>
          </w:rPr>
          <w:t xml:space="preserve">‪https://www.moj.gov.sa/ar/eServices/Pages/928b8f02-19a7-482b-ba0e-29a151d9a900.aspx‬</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منصة ناجز: </w:t>
      </w:r>
      <w:hyperlink w:history="1" r:id="rId4jrnso4clfxy7ntmx5ms8">
        <w:r>
          <w:rPr>
            <w:rStyle w:val="Hyperlink"/>
            <w:sz w:val="17"/>
            <w:szCs w:val="17"/>
          </w:rPr>
          <w:t xml:space="preserve">‪https://najiz.sa/applications/landing‬</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دائرة القضاء في أبوظبي: </w:t>
      </w:r>
      <w:hyperlink w:history="1" r:id="rIdz5pyvsyvjdvdefjdwmjex">
        <w:r>
          <w:rPr>
            <w:rStyle w:val="Hyperlink"/>
            <w:sz w:val="17"/>
            <w:szCs w:val="17"/>
          </w:rPr>
          <w:t xml:space="preserve">‪https://www.adjd.gov.ae/‬</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محاكم دبي: </w:t>
      </w:r>
      <w:hyperlink w:history="1" r:id="rIdffufzjecvdgnapgjkqp3l">
        <w:r>
          <w:rPr>
            <w:rStyle w:val="Hyperlink"/>
            <w:sz w:val="17"/>
            <w:szCs w:val="17"/>
          </w:rPr>
          <w:t xml:space="preserve">‪https://www.dc.gov.ae/‬</w:t>
        </w:r>
      </w:hyperlink>
    </w:p>
    <w:p>
      <w:pPr>
        <w:bidi/>
        <w:spacing w:after="240"/>
      </w:pPr>
    </w:p>
    <w:p>
      <w:pPr>
        <w:pStyle w:val="Title"/>
        <w:bidi/>
      </w:pPr>
      <w:r>
        <w:rPr>
          <w:rtl/>
        </w:rPr>
        <w:t xml:space="preserve">صحيفة دعوى</w:t>
      </w:r>
    </w:p>
    <w:p>
      <w:pPr>
        <w:bidi/>
        <w:spacing w:after="240"/>
      </w:pPr>
      <w:r>
        <w:rPr>
          <w:color w:val="444444"/>
          <w:rtl/>
        </w:rPr>
        <w:t xml:space="preserve">مسودة صحيفة دعوى حقوقية أو تجارية تُعدّ قبل قيدها في المحكمة المختصة في دول الخليج. وهي ليست شكوى جزائية ولا طلب تنفيذ. استبدلوا كل </w:t>
      </w:r>
      <w:r>
        <w:rPr>
          <w:color w:val="444444"/>
          <w:highlight w:val="yellow"/>
          <w:rtl/>
        </w:rPr>
        <w:t xml:space="preserve">[</w:t>
      </w:r>
      <w:r>
        <w:rPr>
          <w:color w:val="444444"/>
          <w:highlight w:val="yellow"/>
          <w:rtl/>
        </w:rPr>
        <w:t xml:space="preserve">عبارة بين معقوفين</w:t>
      </w:r>
      <w:r>
        <w:rPr>
          <w:color w:val="444444"/>
          <w:highlight w:val="yellow"/>
          <w:rtl/>
        </w:rPr>
        <w:t xml:space="preserve">]</w:t>
      </w:r>
      <w:r>
        <w:rPr>
          <w:color w:val="444444"/>
          <w:rtl/>
        </w:rPr>
        <w:t xml:space="preserve">. ولا تُملأ أرقام المواد مسبقاً.</w:t>
      </w:r>
    </w:p>
    <w:p>
      <w:pPr>
        <w:pStyle w:val="Heading1"/>
        <w:bidi/>
      </w:pPr>
      <w:commentRangeStart w:id="0"/>
      <w:r>
        <w:rPr>
          <w:rtl/>
        </w:rPr>
        <w:t xml:space="preserve">البند (1): المحكمة والدائرة</w:t>
      </w:r>
      <w:commentRangeEnd w:id="0"/>
      <w:r>
        <w:rPr>
          <w:rtl/>
        </w:rPr>
        <w:commentReference w:id="0"/>
      </w:r>
    </w:p>
    <w:p>
      <w:pPr>
        <w:bidi/>
      </w:pPr>
      <w:r>
        <w:rPr>
          <w:rtl/>
        </w:rPr>
        <w:t xml:space="preserve">إلى </w:t>
      </w:r>
      <w:r>
        <w:rPr>
          <w:highlight w:val="yellow"/>
          <w:rtl/>
        </w:rPr>
        <w:t xml:space="preserve">[</w:t>
      </w:r>
      <w:r>
        <w:rPr>
          <w:highlight w:val="yellow"/>
          <w:rtl/>
        </w:rPr>
        <w:t xml:space="preserve">اسم المحكمة</w:t>
      </w:r>
      <w:r>
        <w:rPr>
          <w:highlight w:val="yellow"/>
          <w:rtl/>
        </w:rPr>
        <w:t xml:space="preserve">]</w:t>
      </w:r>
      <w:r>
        <w:rPr>
          <w:rtl/>
        </w:rPr>
        <w:t xml:space="preserve"> في </w:t>
      </w:r>
      <w:r>
        <w:rPr>
          <w:highlight w:val="yellow"/>
          <w:rtl/>
        </w:rPr>
        <w:t xml:space="preserve">[</w:t>
      </w:r>
      <w:r>
        <w:rPr>
          <w:highlight w:val="yellow"/>
          <w:rtl/>
        </w:rPr>
        <w:t xml:space="preserve">المدينة</w:t>
      </w:r>
      <w:r>
        <w:rPr>
          <w:highlight w:val="yellow"/>
          <w:rtl/>
        </w:rPr>
        <w:t xml:space="preserve">]</w:t>
      </w:r>
      <w:r>
        <w:rPr>
          <w:rtl/>
        </w:rPr>
        <w:t xml:space="preserve">، الدائرة </w:t>
      </w:r>
      <w:r>
        <w:rPr>
          <w:highlight w:val="yellow"/>
          <w:rtl/>
        </w:rPr>
        <w:t xml:space="preserve">[</w:t>
      </w:r>
      <w:r>
        <w:rPr>
          <w:highlight w:val="yellow"/>
          <w:rtl/>
        </w:rPr>
        <w:t xml:space="preserve">●</w:t>
      </w:r>
      <w:r>
        <w:rPr>
          <w:highlight w:val="yellow"/>
          <w:rtl/>
        </w:rPr>
        <w:t xml:space="preserve">]</w:t>
      </w:r>
      <w:r>
        <w:rPr>
          <w:rtl/>
        </w:rPr>
        <w:t xml:space="preserve">. نوع الدعوى: </w:t>
      </w:r>
      <w:r>
        <w:rPr>
          <w:highlight w:val="yellow"/>
          <w:rtl/>
        </w:rPr>
        <w:t xml:space="preserve">[</w:t>
      </w:r>
      <w:r>
        <w:rPr>
          <w:highlight w:val="yellow"/>
          <w:rtl/>
        </w:rPr>
        <w:t xml:space="preserve">حقوقية / تجارية</w:t>
      </w:r>
      <w:r>
        <w:rPr>
          <w:highlight w:val="yellow"/>
          <w:rtl/>
        </w:rPr>
        <w:t xml:space="preserve">]</w:t>
      </w:r>
      <w:r>
        <w:rPr>
          <w:rtl/>
        </w:rPr>
        <w:t xml:space="preserve">.</w:t>
      </w:r>
    </w:p>
    <w:p>
      <w:pPr>
        <w:pStyle w:val="Heading1"/>
        <w:bidi/>
      </w:pPr>
      <w:commentRangeStart w:id="1"/>
      <w:r>
        <w:rPr>
          <w:rtl/>
        </w:rPr>
        <w:t xml:space="preserve">البند (2): المدعي والمدعى عليه</w:t>
      </w:r>
      <w:commentRangeEnd w:id="1"/>
      <w:r>
        <w:rPr>
          <w:rtl/>
        </w:rPr>
        <w:commentReference w:id="1"/>
      </w:r>
    </w:p>
    <w:p>
      <w:pPr>
        <w:bidi/>
      </w:pPr>
      <w:r>
        <w:rPr>
          <w:rtl/>
        </w:rPr>
        <w:t xml:space="preserve">المدعي: </w:t>
      </w:r>
      <w:r>
        <w:rPr>
          <w:highlight w:val="yellow"/>
          <w:rtl/>
        </w:rPr>
        <w:t xml:space="preserve">[</w:t>
      </w:r>
      <w:r>
        <w:rPr>
          <w:highlight w:val="yellow"/>
          <w:rtl/>
        </w:rPr>
        <w:t xml:space="preserve">الاسم، رقم الهوية، العنوان الوطني، صفة التقديم: أصالة / وكالة / ولاية</w:t>
      </w:r>
      <w:r>
        <w:rPr>
          <w:highlight w:val="yellow"/>
          <w:rtl/>
        </w:rPr>
        <w:t xml:space="preserve">]</w:t>
      </w:r>
      <w:r>
        <w:rPr>
          <w:rtl/>
        </w:rPr>
        <w:t xml:space="preserve">.</w:t>
      </w:r>
    </w:p>
    <w:p>
      <w:pPr>
        <w:bidi/>
      </w:pPr>
      <w:r>
        <w:rPr>
          <w:rtl/>
        </w:rPr>
        <w:t xml:space="preserve">المدعى عليه: </w:t>
      </w:r>
      <w:r>
        <w:rPr>
          <w:highlight w:val="yellow"/>
          <w:rtl/>
        </w:rPr>
        <w:t xml:space="preserve">[</w:t>
      </w:r>
      <w:r>
        <w:rPr>
          <w:highlight w:val="yellow"/>
          <w:rtl/>
        </w:rPr>
        <w:t xml:space="preserve">الاسم، رقم الهوية أو السجل، العنوان</w:t>
      </w:r>
      <w:r>
        <w:rPr>
          <w:highlight w:val="yellow"/>
          <w:rtl/>
        </w:rPr>
        <w:t xml:space="preserve">]</w:t>
      </w:r>
      <w:r>
        <w:rPr>
          <w:rtl/>
        </w:rPr>
        <w:t xml:space="preserve">. ووكيله إن وُجد: </w:t>
      </w:r>
      <w:r>
        <w:rPr>
          <w:highlight w:val="yellow"/>
          <w:rtl/>
        </w:rPr>
        <w:t xml:space="preserve">[</w:t>
      </w:r>
      <w:r>
        <w:rPr>
          <w:highlight w:val="yellow"/>
          <w:rtl/>
        </w:rPr>
        <w:t xml:space="preserve">●</w:t>
      </w:r>
      <w:r>
        <w:rPr>
          <w:highlight w:val="yellow"/>
          <w:rtl/>
        </w:rPr>
        <w:t xml:space="preserve">]</w:t>
      </w:r>
      <w:r>
        <w:rPr>
          <w:rtl/>
        </w:rPr>
        <w:t xml:space="preserve">.</w:t>
      </w:r>
    </w:p>
    <w:p>
      <w:pPr>
        <w:pStyle w:val="Heading1"/>
        <w:bidi/>
      </w:pPr>
      <w:commentRangeStart w:id="2"/>
      <w:r>
        <w:rPr>
          <w:rtl/>
        </w:rPr>
        <w:t xml:space="preserve">البند (3): موضوع الدعوى</w:t>
      </w:r>
      <w:commentRangeEnd w:id="2"/>
      <w:r>
        <w:rPr>
          <w:rtl/>
        </w:rPr>
        <w:commentReference w:id="2"/>
      </w:r>
    </w:p>
    <w:p>
      <w:pPr>
        <w:bidi/>
      </w:pPr>
      <w:r>
        <w:rPr>
          <w:rtl/>
        </w:rPr>
        <w:t xml:space="preserve">يطلب المدعي </w:t>
      </w:r>
      <w:r>
        <w:rPr>
          <w:highlight w:val="yellow"/>
          <w:rtl/>
        </w:rPr>
        <w:t xml:space="preserve">[</w:t>
      </w:r>
      <w:r>
        <w:rPr>
          <w:highlight w:val="yellow"/>
          <w:rtl/>
        </w:rPr>
        <w:t xml:space="preserve">الحكم أو المبلغ أو الالتزام</w:t>
      </w:r>
      <w:r>
        <w:rPr>
          <w:highlight w:val="yellow"/>
          <w:rtl/>
        </w:rPr>
        <w:t xml:space="preserve">]</w:t>
      </w:r>
      <w:r>
        <w:rPr>
          <w:rtl/>
        </w:rPr>
        <w:t xml:space="preserve"> الناشئ عن </w:t>
      </w:r>
      <w:r>
        <w:rPr>
          <w:highlight w:val="yellow"/>
          <w:rtl/>
        </w:rPr>
        <w:t xml:space="preserve">[</w:t>
      </w:r>
      <w:r>
        <w:rPr>
          <w:highlight w:val="yellow"/>
          <w:rtl/>
        </w:rPr>
        <w:t xml:space="preserve">العقد أو الواقعة</w:t>
      </w:r>
      <w:r>
        <w:rPr>
          <w:highlight w:val="yellow"/>
          <w:rtl/>
        </w:rPr>
        <w:t xml:space="preserve">]</w:t>
      </w:r>
      <w:r>
        <w:rPr>
          <w:rtl/>
        </w:rPr>
        <w:t xml:space="preserve"> بتاريخ </w:t>
      </w:r>
      <w:r>
        <w:rPr>
          <w:highlight w:val="yellow"/>
          <w:rtl/>
        </w:rPr>
        <w:t xml:space="preserve">[</w:t>
      </w:r>
      <w:r>
        <w:rPr>
          <w:highlight w:val="yellow"/>
          <w:rtl/>
        </w:rPr>
        <w:t xml:space="preserve">●</w:t>
      </w:r>
      <w:r>
        <w:rPr>
          <w:highlight w:val="yellow"/>
          <w:rtl/>
        </w:rPr>
        <w:t xml:space="preserve">]</w:t>
      </w:r>
      <w:r>
        <w:rPr>
          <w:rtl/>
        </w:rPr>
        <w:t xml:space="preserve">.</w:t>
      </w:r>
    </w:p>
    <w:p>
      <w:pPr>
        <w:pStyle w:val="Heading1"/>
        <w:bidi/>
      </w:pPr>
      <w:commentRangeStart w:id="3"/>
      <w:r>
        <w:rPr>
          <w:rtl/>
        </w:rPr>
        <w:t xml:space="preserve">البند (4): الوقائع</w:t>
      </w:r>
      <w:commentRangeEnd w:id="3"/>
      <w:r>
        <w:rPr>
          <w:rtl/>
        </w:rPr>
        <w:commentReference w:id="3"/>
      </w:r>
    </w:p>
    <w:p>
      <w:pPr>
        <w:bidi/>
        <w:ind w:start="360" w:hanging="0"/>
      </w:pPr>
      <w:r>
        <w:rPr>
          <w:rtl/>
        </w:rPr>
        <w:t xml:space="preserve">(1) </w:t>
      </w:r>
      <w:r>
        <w:rPr>
          <w:highlight w:val="yellow"/>
          <w:rtl/>
        </w:rPr>
        <w:t xml:space="preserve">[</w:t>
      </w:r>
      <w:r>
        <w:rPr>
          <w:highlight w:val="yellow"/>
          <w:rtl/>
        </w:rPr>
        <w:t xml:space="preserve">الواقعة الأولى، مع التاريخ</w:t>
      </w:r>
      <w:r>
        <w:rPr>
          <w:highlight w:val="yellow"/>
          <w:rtl/>
        </w:rPr>
        <w:t xml:space="preserve">]</w:t>
      </w:r>
      <w:r>
        <w:rPr>
          <w:rtl/>
        </w:rPr>
        <w:t xml:space="preserve">.</w:t>
      </w:r>
    </w:p>
    <w:p>
      <w:pPr>
        <w:bidi/>
        <w:ind w:start="360" w:hanging="0"/>
      </w:pPr>
      <w:r>
        <w:rPr>
          <w:rtl/>
        </w:rPr>
        <w:t xml:space="preserve">(2) </w:t>
      </w:r>
      <w:r>
        <w:rPr>
          <w:highlight w:val="yellow"/>
          <w:rtl/>
        </w:rPr>
        <w:t xml:space="preserve">[</w:t>
      </w:r>
      <w:r>
        <w:rPr>
          <w:highlight w:val="yellow"/>
          <w:rtl/>
        </w:rPr>
        <w:t xml:space="preserve">الواقعة الثانية</w:t>
      </w:r>
      <w:r>
        <w:rPr>
          <w:highlight w:val="yellow"/>
          <w:rtl/>
        </w:rPr>
        <w:t xml:space="preserve">]</w:t>
      </w:r>
      <w:r>
        <w:rPr>
          <w:rtl/>
        </w:rPr>
        <w:t xml:space="preserve">.</w:t>
      </w:r>
    </w:p>
    <w:p>
      <w:pPr>
        <w:bidi/>
        <w:ind w:start="360" w:hanging="0"/>
      </w:pPr>
      <w:r>
        <w:rPr>
          <w:rtl/>
        </w:rPr>
        <w:t xml:space="preserve">(3) </w:t>
      </w:r>
      <w:r>
        <w:rPr>
          <w:highlight w:val="yellow"/>
          <w:rtl/>
        </w:rPr>
        <w:t xml:space="preserve">[</w:t>
      </w:r>
      <w:r>
        <w:rPr>
          <w:highlight w:val="yellow"/>
          <w:rtl/>
        </w:rPr>
        <w:t xml:space="preserve">ما طُولب به قبل الدعوى، إن وُجد، ونتيجته</w:t>
      </w:r>
      <w:r>
        <w:rPr>
          <w:highlight w:val="yellow"/>
          <w:rtl/>
        </w:rPr>
        <w:t xml:space="preserve">]</w:t>
      </w:r>
      <w:r>
        <w:rPr>
          <w:rtl/>
        </w:rPr>
        <w:t xml:space="preserve">.</w:t>
      </w:r>
    </w:p>
    <w:p>
      <w:pPr>
        <w:pStyle w:val="Heading1"/>
        <w:bidi/>
      </w:pPr>
      <w:commentRangeStart w:id="4"/>
      <w:r>
        <w:rPr>
          <w:rtl/>
        </w:rPr>
        <w:t xml:space="preserve">البند (5): الأسانيد</w:t>
      </w:r>
      <w:commentRangeEnd w:id="4"/>
      <w:r>
        <w:rPr>
          <w:rtl/>
        </w:rPr>
        <w:commentReference w:id="4"/>
      </w:r>
    </w:p>
    <w:p>
      <w:pPr>
        <w:bidi/>
      </w:pPr>
      <w:r>
        <w:rPr>
          <w:rtl/>
        </w:rPr>
        <w:t xml:space="preserve">يستند المدعي إلى النص الذي يعيّنه: </w:t>
      </w:r>
      <w:r>
        <w:rPr>
          <w:highlight w:val="yellow"/>
          <w:rtl/>
        </w:rPr>
        <w:t xml:space="preserve">[</w:t>
      </w:r>
      <w:r>
        <w:rPr>
          <w:highlight w:val="yellow"/>
          <w:rtl/>
        </w:rPr>
        <w:t xml:space="preserve">اذكروا النص الذي تعتمدون عليه</w:t>
      </w:r>
      <w:r>
        <w:rPr>
          <w:highlight w:val="yellow"/>
          <w:rtl/>
        </w:rPr>
        <w:t xml:space="preserve">]</w:t>
      </w:r>
      <w:r>
        <w:rPr>
          <w:rtl/>
        </w:rPr>
        <w:t xml:space="preserve">. ولا يُترك هذا الموضع فارغاً عند القيد.</w:t>
      </w:r>
    </w:p>
    <w:p>
      <w:pPr>
        <w:pStyle w:val="Heading1"/>
        <w:bidi/>
      </w:pPr>
      <w:r>
        <w:rPr>
          <w:rtl/>
        </w:rPr>
        <w:t xml:space="preserve">البند (6): المستندات</w:t>
      </w:r>
    </w:p>
    <w:p>
      <w:pPr>
        <w:bidi/>
      </w:pPr>
      <w:r>
        <w:rPr>
          <w:rtl/>
        </w:rPr>
        <w:t xml:space="preserve">يرفق المدعي ما هو مبيّن في الملحق (1). وقد يلزم تقديم مستندات داعمة بحسب تصنيف الدعوى.</w:t>
      </w:r>
    </w:p>
    <w:p>
      <w:pPr>
        <w:pStyle w:val="Heading1"/>
        <w:bidi/>
      </w:pPr>
      <w:commentRangeStart w:id="5"/>
      <w:r>
        <w:rPr>
          <w:rtl/>
        </w:rPr>
        <w:t xml:space="preserve">البند (7): الطلبات</w:t>
      </w:r>
      <w:commentRangeEnd w:id="5"/>
      <w:r>
        <w:rPr>
          <w:rtl/>
        </w:rPr>
        <w:commentReference w:id="5"/>
      </w:r>
    </w:p>
    <w:p>
      <w:pPr>
        <w:bidi/>
        <w:ind w:start="360" w:hanging="0"/>
      </w:pPr>
      <w:r>
        <w:rPr>
          <w:rtl/>
        </w:rPr>
        <w:t xml:space="preserve">(1) إلزام المدعى عليه بـ</w:t>
      </w:r>
      <w:r>
        <w:rPr>
          <w:highlight w:val="yellow"/>
          <w:rtl/>
        </w:rPr>
        <w:t xml:space="preserve">[</w:t>
      </w:r>
      <w:r>
        <w:rPr>
          <w:highlight w:val="yellow"/>
          <w:rtl/>
        </w:rPr>
        <w:t xml:space="preserve">الطلب الأصلي</w:t>
      </w:r>
      <w:r>
        <w:rPr>
          <w:highlight w:val="yellow"/>
          <w:rtl/>
        </w:rPr>
        <w:t xml:space="preserve">]</w:t>
      </w:r>
      <w:r>
        <w:rPr>
          <w:rtl/>
        </w:rPr>
        <w:t xml:space="preserve">.</w:t>
      </w:r>
    </w:p>
    <w:p>
      <w:pPr>
        <w:bidi/>
        <w:ind w:start="360" w:hanging="0"/>
      </w:pPr>
      <w:r>
        <w:rPr>
          <w:rtl/>
        </w:rPr>
        <w:t xml:space="preserve">(2) </w:t>
      </w:r>
      <w:r>
        <w:rPr>
          <w:highlight w:val="yellow"/>
          <w:rtl/>
        </w:rPr>
        <w:t xml:space="preserve">[</w:t>
      </w:r>
      <w:r>
        <w:rPr>
          <w:highlight w:val="yellow"/>
          <w:rtl/>
        </w:rPr>
        <w:t xml:space="preserve">طلب احتياطي، إن وُجد</w:t>
      </w:r>
      <w:r>
        <w:rPr>
          <w:highlight w:val="yellow"/>
          <w:rtl/>
        </w:rPr>
        <w:t xml:space="preserve">]</w:t>
      </w:r>
      <w:r>
        <w:rPr>
          <w:rtl/>
        </w:rPr>
        <w:t xml:space="preserve">.</w:t>
      </w:r>
    </w:p>
    <w:p>
      <w:pPr>
        <w:bidi/>
        <w:ind w:start="360" w:hanging="0"/>
      </w:pPr>
      <w:r>
        <w:rPr>
          <w:rtl/>
        </w:rPr>
        <w:t xml:space="preserve">(3) ما تراه المحكمة من رسوم ومصروفات إذا كان لها وجه.</w:t>
      </w:r>
    </w:p>
    <w:p>
      <w:pPr>
        <w:pStyle w:val="Heading1"/>
        <w:bidi/>
      </w:pPr>
      <w:commentRangeStart w:id="6"/>
      <w:r>
        <w:rPr>
          <w:rtl/>
        </w:rPr>
        <w:t xml:space="preserve">البند (8): التوقيع وبيانات الوكيل</w:t>
      </w:r>
      <w:commentRangeEnd w:id="6"/>
      <w:r>
        <w:rPr>
          <w:rtl/>
        </w:rPr>
        <w:commentReference w:id="6"/>
      </w:r>
    </w:p>
    <w:p>
      <w:pPr>
        <w:pBdr>
          <w:top w:val="single" w:color="888888" w:sz="6" w:space="6"/>
          <w:left w:val="single" w:color="888888" w:sz="6" w:space="6"/>
          <w:bottom w:val="single" w:color="888888" w:sz="6" w:space="6"/>
          <w:right w:val="single" w:color="888888" w:sz="6" w:space="6"/>
        </w:pBdr>
        <w:bidi/>
        <w:spacing w:after="120"/>
      </w:pPr>
      <w:r>
        <w:rPr>
          <w:b/>
          <w:bCs/>
          <w:rtl/>
        </w:rPr>
        <w:t xml:space="preserve">مقدم الصحيفة:</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الصفة </w:t>
      </w:r>
      <w:r>
        <w:rPr>
          <w:highlight w:val="yellow"/>
          <w:rtl/>
        </w:rPr>
        <w:t xml:space="preserve">[</w:t>
      </w:r>
      <w:r>
        <w:rPr>
          <w:highlight w:val="yellow"/>
          <w:rtl/>
        </w:rPr>
        <w:t xml:space="preserve">أصالة / وكيل</w:t>
      </w:r>
      <w:r>
        <w:rPr>
          <w:highlight w:val="yellow"/>
          <w:rtl/>
        </w:rPr>
        <w:t xml:space="preserve">]</w:t>
      </w:r>
      <w:r>
        <w:rPr>
          <w:rtl/>
        </w:rPr>
        <w:t xml:space="preserve"> · رقم الوكالة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Bdr>
          <w:top w:val="single" w:color="888888" w:sz="6" w:space="6"/>
          <w:left w:val="single" w:color="888888" w:sz="6" w:space="6"/>
          <w:bottom w:val="single" w:color="888888" w:sz="6" w:space="6"/>
          <w:right w:val="single" w:color="888888" w:sz="6" w:space="6"/>
        </w:pBdr>
        <w:bidi/>
        <w:spacing w:after="120"/>
      </w:pPr>
      <w:r>
        <w:rPr>
          <w:b/>
          <w:bCs/>
          <w:rtl/>
        </w:rPr>
        <w:t xml:space="preserve">عنوان التبليغ:</w:t>
      </w:r>
      <w:r>
        <w:rPr>
          <w:rtl/>
        </w:rPr>
        <w:t xml:space="preserve"> </w:t>
      </w:r>
      <w:r>
        <w:rPr>
          <w:highlight w:val="yellow"/>
          <w:rtl/>
        </w:rPr>
        <w:t xml:space="preserve">[</w:t>
      </w:r>
      <w:r>
        <w:rPr>
          <w:highlight w:val="yellow"/>
          <w:rtl/>
        </w:rPr>
        <w:t xml:space="preserve">●</w:t>
      </w:r>
      <w:r>
        <w:rPr>
          <w:highlight w:val="yellow"/>
          <w:rtl/>
        </w:rPr>
        <w:t xml:space="preserve">]</w:t>
      </w:r>
    </w:p>
    <w:p>
      <w:pPr>
        <w:pStyle w:val="Heading1"/>
        <w:pageBreakBefore/>
        <w:bidi/>
      </w:pPr>
      <w:r>
        <w:rPr>
          <w:rtl/>
        </w:rPr>
        <w:t xml:space="preserve">ملاحظات عن المملكة العربية السعودية</w:t>
      </w:r>
    </w:p>
    <w:p>
      <w:pPr>
        <w:bidi/>
      </w:pPr>
      <w:r>
        <w:rPr>
          <w:rtl/>
        </w:rPr>
        <w:t xml:space="preserve">ما تقوله بطاقة خدمة «صحيفة دعوى».</w:t>
      </w:r>
      <w:r>
        <w:rPr>
          <w:rtl/>
        </w:rPr>
        <w:t xml:space="preserve"> [1]</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ما ورد في البطاقة</w:t>
            </w:r>
          </w:p>
        </w:tc>
      </w:tr>
      <w:tr>
        <w:trPr>
          <w:cantSplit/>
        </w:trPr>
        <w:tc>
          <w:tcPr>
            <w:tcMar>
              <w:top w:type="dxa" w:w="80"/>
              <w:left w:type="dxa" w:w="100"/>
              <w:bottom w:type="dxa" w:w="80"/>
              <w:right w:type="dxa" w:w="100"/>
            </w:tcMar>
          </w:tcPr>
          <w:p>
            <w:pPr>
              <w:bidi/>
              <w:spacing w:after="0"/>
            </w:pPr>
            <w:r>
              <w:rPr>
                <w:b w:val="false"/>
                <w:sz w:val="18"/>
                <w:szCs w:val="18"/>
                <w:rtl/>
              </w:rPr>
              <w:t xml:space="preserve">القيد</w:t>
            </w:r>
          </w:p>
        </w:tc>
        <w:tc>
          <w:tcPr>
            <w:tcMar>
              <w:top w:type="dxa" w:w="80"/>
              <w:left w:type="dxa" w:w="100"/>
              <w:bottom w:type="dxa" w:w="80"/>
              <w:right w:type="dxa" w:w="100"/>
            </w:tcMar>
          </w:tcPr>
          <w:p>
            <w:pPr>
              <w:bidi/>
              <w:spacing w:after="0"/>
            </w:pPr>
            <w:r>
              <w:rPr>
                <w:b w:val="false"/>
                <w:sz w:val="18"/>
                <w:szCs w:val="18"/>
                <w:rtl/>
              </w:rPr>
              <w:t xml:space="preserve">من ناجز: جميع الخدمات، ثم باقة القضاء، ثم صحيفة دعوى، ثم طلب جديد، ثم تصنيف الدعوى ومتطلباتها، ثم بيانات الدعوى وأطرافها، ثم المستندات، ثم تقديم الطلب.</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المحاكم</w:t>
            </w:r>
          </w:p>
        </w:tc>
        <w:tc>
          <w:tcPr>
            <w:tcMar>
              <w:top w:type="dxa" w:w="80"/>
              <w:left w:type="dxa" w:w="100"/>
              <w:bottom w:type="dxa" w:w="80"/>
              <w:right w:type="dxa" w:w="100"/>
            </w:tcMar>
          </w:tcPr>
          <w:p>
            <w:pPr>
              <w:bidi/>
              <w:spacing w:after="0"/>
            </w:pPr>
            <w:r>
              <w:rPr>
                <w:b w:val="false"/>
                <w:sz w:val="18"/>
                <w:szCs w:val="18"/>
                <w:rtl/>
              </w:rPr>
              <w:t xml:space="preserve">العامة، والجزائية، والحقوقية، والتجارية، والأحوال الشخصية، والعمالية.</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الوكيل</w:t>
            </w:r>
          </w:p>
        </w:tc>
        <w:tc>
          <w:tcPr>
            <w:tcMar>
              <w:top w:type="dxa" w:w="80"/>
              <w:left w:type="dxa" w:w="100"/>
              <w:bottom w:type="dxa" w:w="80"/>
              <w:right w:type="dxa" w:w="100"/>
            </w:tcMar>
          </w:tcPr>
          <w:p>
            <w:pPr>
              <w:bidi/>
              <w:spacing w:after="0"/>
            </w:pPr>
            <w:r>
              <w:rPr>
                <w:b w:val="false"/>
                <w:sz w:val="18"/>
                <w:szCs w:val="18"/>
                <w:rtl/>
              </w:rPr>
              <w:t xml:space="preserve">وكالة سارية تتضمن بند المرافعة إذا كان مقدم الطلب وكيلاً.</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الحضور</w:t>
            </w:r>
          </w:p>
        </w:tc>
        <w:tc>
          <w:tcPr>
            <w:tcMar>
              <w:top w:type="dxa" w:w="80"/>
              <w:left w:type="dxa" w:w="100"/>
              <w:bottom w:type="dxa" w:w="80"/>
              <w:right w:type="dxa" w:w="100"/>
            </w:tcMar>
          </w:tcPr>
          <w:p>
            <w:pPr>
              <w:bidi/>
              <w:spacing w:after="0"/>
            </w:pPr>
            <w:r>
              <w:rPr>
                <w:b w:val="false"/>
                <w:sz w:val="18"/>
                <w:szCs w:val="18"/>
                <w:rtl/>
              </w:rPr>
              <w:t xml:space="preserve">لا تتطلب الخدمة زيارة المحكمة إلا إذا طلبت رسالة نصية المراجعة.</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ما لا يُذكر</w:t>
            </w:r>
          </w:p>
        </w:tc>
        <w:tc>
          <w:tcPr>
            <w:tcMar>
              <w:top w:type="dxa" w:w="80"/>
              <w:left w:type="dxa" w:w="100"/>
              <w:bottom w:type="dxa" w:w="80"/>
              <w:right w:type="dxa" w:w="100"/>
            </w:tcMar>
          </w:tcPr>
          <w:p>
            <w:pPr>
              <w:bidi/>
              <w:spacing w:after="0"/>
            </w:pPr>
            <w:r>
              <w:rPr>
                <w:b w:val="false"/>
                <w:sz w:val="18"/>
                <w:szCs w:val="18"/>
                <w:rtl/>
              </w:rPr>
              <w:t xml:space="preserve">لا تذكر هذه الصفحة فئات دعوى يجب أن يسبقها صلح. وتحققوا من متطلبات التصنيف داخل الخدمة.</w:t>
            </w:r>
          </w:p>
        </w:tc>
      </w:tr>
    </w:tbl>
    <w:p>
      <w:pPr>
        <w:bidi/>
      </w:pPr>
    </w:p>
    <w:p>
      <w:pPr>
        <w:pStyle w:val="Heading1"/>
        <w:pageBreakBefore/>
        <w:bidi/>
      </w:pPr>
      <w:r>
        <w:rPr>
          <w:rtl/>
        </w:rPr>
        <w:t xml:space="preserve">ملاحظات عن الإمارات العربية المتحدة</w:t>
      </w:r>
    </w:p>
    <w:p>
      <w:pPr>
        <w:bidi/>
      </w:pPr>
      <w:r>
        <w:rPr>
          <w:rtl/>
        </w:rPr>
        <w:t xml:space="preserve">لم تُقرأ في هذه الجولة صفحة قيد دعوى في محاكم دبي؛ فالرابط لم يُفتح من هذه الشبكة.</w:t>
      </w:r>
      <w:r>
        <w:rPr>
          <w:rtl/>
        </w:rPr>
        <w:t xml:space="preserve"> [5][4]</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ما يُعمل به هنا</w:t>
            </w:r>
          </w:p>
        </w:tc>
      </w:tr>
      <w:tr>
        <w:trPr>
          <w:cantSplit/>
        </w:trPr>
        <w:tc>
          <w:tcPr>
            <w:tcMar>
              <w:top w:type="dxa" w:w="80"/>
              <w:left w:type="dxa" w:w="100"/>
              <w:bottom w:type="dxa" w:w="80"/>
              <w:right w:type="dxa" w:w="100"/>
            </w:tcMar>
          </w:tcPr>
          <w:p>
            <w:pPr>
              <w:bidi/>
              <w:spacing w:after="0"/>
            </w:pPr>
            <w:r>
              <w:rPr>
                <w:b w:val="false"/>
                <w:sz w:val="18"/>
                <w:szCs w:val="18"/>
                <w:rtl/>
              </w:rPr>
              <w:t xml:space="preserve">لغة القيد</w:t>
            </w:r>
          </w:p>
        </w:tc>
        <w:tc>
          <w:tcPr>
            <w:tcMar>
              <w:top w:type="dxa" w:w="80"/>
              <w:left w:type="dxa" w:w="100"/>
              <w:bottom w:type="dxa" w:w="80"/>
              <w:right w:type="dxa" w:w="100"/>
            </w:tcMar>
          </w:tcPr>
          <w:p>
            <w:pPr>
              <w:bidi/>
              <w:spacing w:after="0"/>
            </w:pPr>
            <w:r>
              <w:rPr>
                <w:b w:val="false"/>
                <w:sz w:val="18"/>
                <w:szCs w:val="18"/>
                <w:rtl/>
              </w:rPr>
              <w:t xml:space="preserve">تحققوا من لغة القيد التي تطلبها المحكمة. وهذه الصفحة لا تقرر أن القيد بالعربية إلا إذا قرأتم ذلك في صفحة تلك المحكمة.</w:t>
            </w:r>
          </w:p>
        </w:tc>
      </w:tr>
      <w:tr>
        <w:trPr>
          <w:cantSplit/>
        </w:trPr>
        <w:tc>
          <w:tcPr>
            <w:tcMar>
              <w:top w:type="dxa" w:w="80"/>
              <w:left w:type="dxa" w:w="100"/>
              <w:bottom w:type="dxa" w:w="80"/>
              <w:right w:type="dxa" w:w="100"/>
            </w:tcMar>
          </w:tcPr>
          <w:p>
            <w:pPr>
              <w:bidi/>
              <w:spacing w:after="0"/>
            </w:pPr>
            <w:r>
              <w:rPr>
                <w:b w:val="false"/>
                <w:sz w:val="18"/>
                <w:szCs w:val="18"/>
                <w:rtl/>
              </w:rPr>
              <w:t xml:space="preserve">أبوظبي</w:t>
            </w:r>
          </w:p>
        </w:tc>
        <w:tc>
          <w:tcPr>
            <w:tcMar>
              <w:top w:type="dxa" w:w="80"/>
              <w:left w:type="dxa" w:w="100"/>
              <w:bottom w:type="dxa" w:w="80"/>
              <w:right w:type="dxa" w:w="100"/>
            </w:tcMar>
          </w:tcPr>
          <w:p>
            <w:pPr>
              <w:bidi/>
              <w:spacing w:after="0"/>
            </w:pPr>
            <w:r>
              <w:rPr>
                <w:b w:val="false"/>
                <w:sz w:val="18"/>
                <w:szCs w:val="18"/>
                <w:rtl/>
              </w:rPr>
              <w:t xml:space="preserve">تنشر دائرة القضاء خدمات المحاكم الإلكترونية، ومنها ما عنونته الصفحة بقيد الدعاوى، إلى جانب الكاتب العدل.</w:t>
            </w:r>
            <w:r>
              <w:rPr>
                <w:b w:val="false"/>
                <w:sz w:val="18"/>
                <w:szCs w:val="18"/>
                <w:rtl/>
              </w:rPr>
              <w:t xml:space="preserve"> [4]</w:t>
            </w:r>
            <w:r>
              <w:rPr>
                <w:b w:val="false"/>
                <w:sz w:val="18"/>
                <w:szCs w:val="18"/>
                <w:rtl/>
              </w:rPr>
              <w:t xml:space="preserve"> ولم تُقرأ خطوات القيد نفسها.</w:t>
            </w:r>
          </w:p>
        </w:tc>
      </w:tr>
      <w:tr>
        <w:trPr>
          <w:cantSplit/>
        </w:trPr>
        <w:tc>
          <w:tcPr>
            <w:tcMar>
              <w:top w:type="dxa" w:w="80"/>
              <w:left w:type="dxa" w:w="100"/>
              <w:bottom w:type="dxa" w:w="80"/>
              <w:right w:type="dxa" w:w="100"/>
            </w:tcMar>
          </w:tcPr>
          <w:p>
            <w:pPr>
              <w:bidi/>
              <w:spacing w:after="0"/>
            </w:pPr>
            <w:r>
              <w:rPr>
                <w:b w:val="false"/>
                <w:sz w:val="18"/>
                <w:szCs w:val="18"/>
                <w:rtl/>
              </w:rPr>
              <w:t xml:space="preserve">دبي</w:t>
            </w:r>
          </w:p>
        </w:tc>
        <w:tc>
          <w:tcPr>
            <w:tcMar>
              <w:top w:type="dxa" w:w="80"/>
              <w:left w:type="dxa" w:w="100"/>
              <w:bottom w:type="dxa" w:w="80"/>
              <w:right w:type="dxa" w:w="100"/>
            </w:tcMar>
          </w:tcPr>
          <w:p>
            <w:pPr>
              <w:bidi/>
              <w:spacing w:after="0"/>
            </w:pPr>
            <w:r>
              <w:rPr>
                <w:b w:val="false"/>
                <w:sz w:val="18"/>
                <w:szCs w:val="18"/>
                <w:rtl/>
              </w:rPr>
              <w:t xml:space="preserve">رابط محاكم دبي مُبقًى. ولم يُقرأ منه إجراء قيد في هذه الجولة.</w:t>
            </w:r>
            <w:r>
              <w:rPr>
                <w:b w:val="false"/>
                <w:sz w:val="18"/>
                <w:szCs w:val="18"/>
                <w:rtl/>
              </w:rPr>
              <w:t xml:space="preserve"> [5]</w:t>
            </w:r>
          </w:p>
        </w:tc>
      </w:tr>
    </w:tbl>
    <w:p>
      <w:pPr>
        <w:bidi/>
      </w:pPr>
    </w:p>
    <w:p>
      <w:pPr>
        <w:pStyle w:val="Heading1"/>
        <w:pageBreakBefore/>
        <w:bidi/>
      </w:pPr>
      <w:r>
        <w:rPr>
          <w:rtl/>
        </w:rPr>
        <w:t xml:space="preserve">الملحق (1): قائمة المستندات</w:t>
      </w:r>
    </w:p>
    <w:p>
      <w:pPr>
        <w:bidi/>
      </w:pPr>
      <w:r>
        <w:rPr>
          <w:rtl/>
        </w:rPr>
        <w:t xml:space="preserve">صفوا كل مستند بما يكفي لتمييزه، وبيّنوا تحت يد من هو.</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77"/>
        <w:gridCol w:w="2377"/>
        <w:gridCol w:w="2377"/>
        <w:gridCol w:w="2377"/>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الرقم</w:t>
            </w:r>
          </w:p>
        </w:tc>
        <w:tc>
          <w:tcPr>
            <w:shd w:fill="EDEDED" w:color="auto" w:val="clear"/>
            <w:tcMar>
              <w:top w:type="dxa" w:w="80"/>
              <w:left w:type="dxa" w:w="100"/>
              <w:bottom w:type="dxa" w:w="80"/>
              <w:right w:type="dxa" w:w="100"/>
            </w:tcMar>
          </w:tcPr>
          <w:p>
            <w:pPr>
              <w:bidi/>
              <w:spacing w:after="0"/>
            </w:pPr>
            <w:r>
              <w:rPr>
                <w:b/>
                <w:bCs/>
                <w:sz w:val="18"/>
                <w:szCs w:val="18"/>
                <w:rtl/>
              </w:rPr>
              <w:t xml:space="preserve">الوصف</w:t>
            </w:r>
          </w:p>
        </w:tc>
        <w:tc>
          <w:tcPr>
            <w:shd w:fill="EDEDED" w:color="auto" w:val="clear"/>
            <w:tcMar>
              <w:top w:type="dxa" w:w="80"/>
              <w:left w:type="dxa" w:w="100"/>
              <w:bottom w:type="dxa" w:w="80"/>
              <w:right w:type="dxa" w:w="100"/>
            </w:tcMar>
          </w:tcPr>
          <w:p>
            <w:pPr>
              <w:bidi/>
              <w:spacing w:after="0"/>
            </w:pPr>
            <w:r>
              <w:rPr>
                <w:b/>
                <w:bCs/>
                <w:sz w:val="18"/>
                <w:szCs w:val="18"/>
                <w:rtl/>
              </w:rPr>
              <w:t xml:space="preserve">النوع</w:t>
            </w:r>
          </w:p>
        </w:tc>
        <w:tc>
          <w:tcPr>
            <w:shd w:fill="EDEDED" w:color="auto" w:val="clear"/>
            <w:tcMar>
              <w:top w:type="dxa" w:w="80"/>
              <w:left w:type="dxa" w:w="100"/>
              <w:bottom w:type="dxa" w:w="80"/>
              <w:right w:type="dxa" w:w="100"/>
            </w:tcMar>
          </w:tcPr>
          <w:p>
            <w:pPr>
              <w:bidi/>
              <w:spacing w:after="0"/>
            </w:pPr>
            <w:r>
              <w:rPr>
                <w:b/>
                <w:bCs/>
                <w:sz w:val="18"/>
                <w:szCs w:val="18"/>
                <w:rtl/>
              </w:rPr>
              <w:t xml:space="preserve">تحت يد</w:t>
            </w:r>
          </w:p>
        </w:tc>
      </w:tr>
      <w:tr>
        <w:trPr>
          <w:cantSplit/>
        </w:trPr>
        <w:tc>
          <w:tcPr>
            <w:tcMar>
              <w:top w:type="dxa" w:w="80"/>
              <w:left w:type="dxa" w:w="100"/>
              <w:bottom w:type="dxa" w:w="80"/>
              <w:right w:type="dxa" w:w="100"/>
            </w:tcMar>
          </w:tcPr>
          <w:p>
            <w:pPr>
              <w:bidi/>
              <w:spacing w:after="0"/>
            </w:pPr>
            <w:r>
              <w:rPr>
                <w:b w:val="false"/>
                <w:sz w:val="18"/>
                <w:szCs w:val="18"/>
                <w:rtl/>
              </w:rPr>
              <w:t xml:space="preserve">1</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وصف المستند</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عقد / فاتورة / مراسلة</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لدى المدعي / المدعى عليه</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rtl/>
              </w:rPr>
              <w:t xml:space="preserve">2</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rtl/>
              </w:rPr>
              <w:t xml:space="preserve">3</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r>
    </w:tbl>
    <w:p>
      <w:pPr>
        <w:bidi/>
      </w:pPr>
    </w:p>
    <w:p>
      <w:pPr>
        <w:pStyle w:val="Heading1"/>
        <w:pageBreakBefore/>
        <w:bidi/>
      </w:pPr>
      <w:r>
        <w:rPr>
          <w:rtl/>
        </w:rPr>
        <w:t xml:space="preserve">عن هذا النموذج</w:t>
      </w:r>
    </w:p>
    <w:p>
      <w:pPr>
        <w:bidi/>
      </w:pPr>
      <w:r>
        <w:rPr>
          <w:rtl/>
        </w:rPr>
        <w:t xml:space="preserve">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17 أكتوبر 2026. احرص على مراجعته من محامٍ مرخّص في دولتك قبل استخدامه، وحيثما كان النموذج أو المنصة الرسمية إلزامياً فهو المعتمد.</w:t>
      </w:r>
    </w:p>
    <w:p>
      <w:pPr>
        <w:bidi/>
      </w:pPr>
      <w:r>
        <w:rPr>
          <w:b/>
          <w:bCs/>
          <w:rtl/>
        </w:rPr>
        <w:t xml:space="preserve">منهجية الإعداد:</w:t>
      </w:r>
      <w:r>
        <w:rPr>
          <w:rtl/>
        </w:rPr>
        <w:t xml:space="preserve"> أُعِدّ هذا النموذج استناداً إلى التشريعات والمنصات الحكومية الرسمية المذكورة في قسم المصادر، وروجعت كل معلومة نظامية مقابل النص الرسمي في تاريخ المراجعة. وحيثما وُجد نموذج أو منصة رسمية أشرنا إليها، وينبغي استخدامها. الأنظمة تتغير؛ فتحقّق من المصادر قبل الاستخدام، واعرض النص النهائي على محامٍ مرخّص.</w:t>
      </w:r>
    </w:p>
    <w:p>
      <w:pPr>
        <w:bidi/>
      </w:pPr>
      <w:r>
        <w:rPr>
          <w:rtl/>
        </w:rPr>
        <w:t xml:space="preserve">نص هذه الصفحة وملفات ‎.docx مرخّصة بموجب </w:t>
      </w:r>
      <w:hyperlink w:history="1" r:id="rIddpqb9cvfma4hz6llgypke">
        <w:r>
          <w:rPr>
            <w:rStyle w:val="Hyperlink"/>
            <w:rtl/>
          </w:rPr>
          <w:t xml:space="preserve">ترخيص المشاع الإبداعي نَسب المُصنَّف 4.0 الدولي (CC BY 4.0)</w:t>
        </w:r>
      </w:hyperlink>
      <w:r>
        <w:rPr>
          <w:rtl/>
        </w:rPr>
        <w:t xml:space="preserve">. ولا يشمل الترخيص اسم قانو وشعارها.</w:t>
      </w:r>
    </w:p>
    <w:p>
      <w:pPr>
        <w:bidi/>
      </w:pPr>
      <w:r>
        <w:rPr>
          <w:rtl/>
        </w:rPr>
        <w:t xml:space="preserve">المصدر: ‪https://www.qanu.ai/ar/نماذج/نموذج-صحيفة-دعوى‬ · آخر مراجعة: 17 أكتوبر 2026 · ليست استشارة قانونية · CC BY 4.0</w:t>
      </w:r>
    </w:p>
    <w:p>
      <w:pPr>
        <w:pStyle w:val="Heading2"/>
        <w:bidi/>
      </w:pPr>
      <w:r>
        <w:rPr>
          <w:rtl/>
        </w:rPr>
        <w:t xml:space="preserve">المصادر</w:t>
      </w:r>
    </w:p>
    <w:p>
      <w:pPr>
        <w:bidi/>
        <w:ind w:start="360" w:hanging="360"/>
      </w:pPr>
      <w:r>
        <w:rPr>
          <w:sz w:val="18"/>
          <w:szCs w:val="18"/>
          <w:rtl/>
        </w:rPr>
        <w:t xml:space="preserve">[1] وزارة العدل، خدمة «صحيفة دعوى» الإلكترونية عبر منصة ناجز </w:t>
      </w:r>
      <w:hyperlink w:history="1" r:id="rIdvekork35cbycnnyyl7knh">
        <w:r>
          <w:rPr>
            <w:rStyle w:val="Hyperlink"/>
            <w:sz w:val="16"/>
            <w:szCs w:val="16"/>
          </w:rPr>
          <w:t xml:space="preserve">https://www.moj.gov.sa/ar/eServices/Pages/928b8f02-19a7-482b-ba0e-29a151d9a900.aspx</w:t>
        </w:r>
      </w:hyperlink>
    </w:p>
    <w:p>
      <w:pPr>
        <w:bidi/>
        <w:ind w:start="360" w:hanging="360"/>
      </w:pPr>
      <w:r>
        <w:rPr>
          <w:sz w:val="18"/>
          <w:szCs w:val="18"/>
          <w:rtl/>
        </w:rPr>
        <w:t xml:space="preserve">[2] منصة ناجز، بوابة الخدمات الإلكترونية لوزارة العدل </w:t>
      </w:r>
      <w:hyperlink w:history="1" r:id="rId3zpwzq6pc8cb50jfp2te_">
        <w:r>
          <w:rPr>
            <w:rStyle w:val="Hyperlink"/>
            <w:sz w:val="16"/>
            <w:szCs w:val="16"/>
          </w:rPr>
          <w:t xml:space="preserve">https://najiz.sa/applications/landing</w:t>
        </w:r>
      </w:hyperlink>
    </w:p>
    <w:p>
      <w:pPr>
        <w:bidi/>
        <w:ind w:start="360" w:hanging="360"/>
      </w:pPr>
      <w:r>
        <w:rPr>
          <w:sz w:val="18"/>
          <w:szCs w:val="18"/>
          <w:rtl/>
        </w:rPr>
        <w:t xml:space="preserve">[3] وزارة العدل، خدمة «إصدار وكالة» الإلكترونية عبر منصة ناجز </w:t>
      </w:r>
      <w:hyperlink w:history="1" r:id="rIdzc0z7l6tco_7wwjagndh_">
        <w:r>
          <w:rPr>
            <w:rStyle w:val="Hyperlink"/>
            <w:sz w:val="16"/>
            <w:szCs w:val="16"/>
          </w:rPr>
          <w:t xml:space="preserve">https://www.moj.gov.sa/ar/eServices/pages/3472d517-7cb4-4cd5-a6bc-2abc9751eea3.aspx</w:t>
        </w:r>
      </w:hyperlink>
    </w:p>
    <w:p>
      <w:pPr>
        <w:bidi/>
        <w:ind w:start="360" w:hanging="360"/>
      </w:pPr>
      <w:r>
        <w:rPr>
          <w:sz w:val="18"/>
          <w:szCs w:val="18"/>
          <w:rtl/>
        </w:rPr>
        <w:t xml:space="preserve">[4] دائرة القضاء في أبوظبي، المحاكم والخدمات الإلكترونية </w:t>
      </w:r>
      <w:hyperlink w:history="1" r:id="rIdomm3a1l4rneyin2nbd5rz">
        <w:r>
          <w:rPr>
            <w:rStyle w:val="Hyperlink"/>
            <w:sz w:val="16"/>
            <w:szCs w:val="16"/>
          </w:rPr>
          <w:t xml:space="preserve">https://www.adjd.gov.ae/</w:t>
        </w:r>
      </w:hyperlink>
    </w:p>
    <w:p>
      <w:pPr>
        <w:bidi/>
        <w:ind w:start="360" w:hanging="360"/>
      </w:pPr>
      <w:r>
        <w:rPr>
          <w:sz w:val="18"/>
          <w:szCs w:val="18"/>
          <w:rtl/>
        </w:rPr>
        <w:t xml:space="preserve">[5] محاكم دبي </w:t>
      </w:r>
      <w:hyperlink w:history="1" r:id="rIdydzfty807ak-8frbotmjp">
        <w:r>
          <w:rPr>
            <w:rStyle w:val="Hyperlink"/>
            <w:sz w:val="16"/>
            <w:szCs w:val="16"/>
          </w:rPr>
          <w:t xml:space="preserve">https://www.dc.gov.ae/</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17T00:00:00.000Z">
    <w:p>
      <w:pPr>
        <w:bidi/>
      </w:pPr>
      <w:r>
        <w:rPr>
          <w:b/>
          <w:bCs/>
          <w:rtl/>
        </w:rPr>
        <w:t xml:space="preserve">ملاحظة صياغة</w:t>
      </w:r>
    </w:p>
    <w:p>
      <w:pPr>
        <w:bidi/>
      </w:pPr>
      <w:r>
        <w:rPr>
          <w:rtl/>
        </w:rPr>
        <w:t xml:space="preserve">في ناجز يُدخل تصنيف الدعوى ويُطّلع على متطلباته قبل إكمال البيانات.</w:t>
      </w:r>
      <w:r>
        <w:rPr>
          <w:rtl/>
        </w:rPr>
        <w:t xml:space="preserve"> [1]</w:t>
      </w:r>
      <w:r>
        <w:rPr>
          <w:rtl/>
        </w:rPr>
        <w:t xml:space="preserve"> وهذه المسودة للدعوى الحقوقية أو التجارية. والخدمة نفسها تذكر المحاكم الجزائية ومحاكم الأحوال الشخصية والمحاكم العمالية، ولكلٍّ منها متطلباته في التصنيف.</w:t>
      </w:r>
    </w:p>
  </w:comment>
  <w:comment w:id="1" w:initials="Q" w:author="Qanu" w:date="2026-10-17T00:00:00.000Z">
    <w:p>
      <w:pPr>
        <w:bidi/>
      </w:pPr>
      <w:r>
        <w:rPr>
          <w:b/>
          <w:bCs/>
          <w:rtl/>
        </w:rPr>
        <w:t xml:space="preserve">ملاحظة صياغة</w:t>
      </w:r>
    </w:p>
    <w:p>
      <w:pPr>
        <w:bidi/>
      </w:pPr>
      <w:r>
        <w:rPr>
          <w:rtl/>
        </w:rPr>
        <w:t xml:space="preserve">تشترط الخدمة هوية للمدعي والمدعى عليه، وعنواناً وطنياً. وإذا كان مقدم الطلب وكيلاً فوكالة سارية تتضمن بند المرافعة، انظروا </w:t>
      </w:r>
      <w:hyperlink w:history="1" r:id="rIddvrpttemhyh7rlltesamr">
        <w:r>
          <w:rPr>
            <w:rStyle w:val="Hyperlink"/>
            <w:rtl/>
          </w:rPr>
          <w:t xml:space="preserve">نموذج الوكالة</w:t>
        </w:r>
      </w:hyperlink>
      <w:r>
        <w:rPr>
          <w:rtl/>
        </w:rPr>
        <w:t xml:space="preserve">. وإذا كان ولياً فصك ولاية سارٍ. ويجب معرفة هوية المدعى عليه لإمكان تقديم الدعوى.</w:t>
      </w:r>
      <w:r>
        <w:rPr>
          <w:rtl/>
        </w:rPr>
        <w:t xml:space="preserve"> [1]</w:t>
      </w:r>
    </w:p>
  </w:comment>
  <w:comment w:id="2" w:initials="Q" w:author="Qanu" w:date="2026-10-17T00:00:00.000Z">
    <w:p>
      <w:pPr>
        <w:bidi/>
      </w:pPr>
      <w:r>
        <w:rPr>
          <w:b/>
          <w:bCs/>
          <w:rtl/>
        </w:rPr>
        <w:t xml:space="preserve">ملاحظة صياغة</w:t>
      </w:r>
    </w:p>
    <w:p>
      <w:pPr>
        <w:bidi/>
      </w:pPr>
      <w:r>
        <w:rPr>
          <w:rtl/>
        </w:rPr>
        <w:t xml:space="preserve">اجعلوا الموضوع جملة واحدة يستطيع القارئ أن يعيدها. والتفصيل محله الوقائع لا العنوان.</w:t>
      </w:r>
    </w:p>
  </w:comment>
  <w:comment w:id="3" w:initials="Q" w:author="Qanu" w:date="2026-10-17T00:00:00.000Z">
    <w:p>
      <w:pPr>
        <w:bidi/>
      </w:pPr>
      <w:r>
        <w:rPr>
          <w:b/>
          <w:bCs/>
          <w:rtl/>
        </w:rPr>
        <w:t xml:space="preserve">ملاحظة صياغة</w:t>
      </w:r>
    </w:p>
    <w:p>
      <w:pPr>
        <w:bidi/>
      </w:pPr>
      <w:r>
        <w:rPr>
          <w:rtl/>
        </w:rPr>
        <w:t xml:space="preserve">رقّموا الوقائع بالترتيب الزمني. ولا تخلطوا الطلب بالحكاية.</w:t>
      </w:r>
    </w:p>
  </w:comment>
  <w:comment w:id="4" w:initials="Q" w:author="Qanu" w:date="2026-10-17T00:00:00.000Z">
    <w:p>
      <w:pPr>
        <w:bidi/>
      </w:pPr>
      <w:r>
        <w:rPr>
          <w:b/>
          <w:bCs/>
          <w:rtl/>
        </w:rPr>
        <w:t xml:space="preserve">ملاحظة صياغة</w:t>
      </w:r>
    </w:p>
    <w:p>
      <w:pPr>
        <w:bidi/>
      </w:pPr>
      <w:r>
        <w:rPr>
          <w:rtl/>
        </w:rPr>
        <w:t xml:space="preserve">لا تُملأ أرقام المواد في هذا النموذج مسبقاً. وتعينون النص من </w:t>
      </w:r>
      <w:hyperlink w:history="1" r:id="rIdmip8et252fgof4igbixin">
        <w:r>
          <w:rPr>
            <w:rStyle w:val="Hyperlink"/>
            <w:rtl/>
          </w:rPr>
          <w:t xml:space="preserve">البحث القانوني</w:t>
        </w:r>
      </w:hyperlink>
      <w:r>
        <w:rPr>
          <w:rtl/>
        </w:rPr>
        <w:t xml:space="preserve"> ثم يراجعه محامٍ. وتذكر بطاقة الخدمة أن المواد المرتبطة بها في نظام المحاكم التجارية ولائحته، ونظام المرافعات الشرعية ولائحته، ونظام الإجراءات الجزائية ولائحته، ولائحة الاستئناف، من غير أن تنقل هذه الصفحة نصوصها.</w:t>
      </w:r>
      <w:r>
        <w:rPr>
          <w:rtl/>
        </w:rPr>
        <w:t xml:space="preserve"> [1]</w:t>
      </w:r>
    </w:p>
  </w:comment>
  <w:comment w:id="5" w:initials="Q" w:author="Qanu" w:date="2026-10-17T00:00:00.000Z">
    <w:p>
      <w:pPr>
        <w:bidi/>
      </w:pPr>
      <w:r>
        <w:rPr>
          <w:b/>
          <w:bCs/>
          <w:rtl/>
        </w:rPr>
        <w:t xml:space="preserve">ملاحظة صياغة</w:t>
      </w:r>
    </w:p>
    <w:p>
      <w:pPr>
        <w:bidi/>
      </w:pPr>
      <w:r>
        <w:rPr>
          <w:rtl/>
        </w:rPr>
        <w:t xml:space="preserve">لا تذكر هذه الصفحة رقم رسم قضائي. وحقل الرسوم في بطاقة الخدمة لا يُنقل هنا حكماً عاماً على كل دعوى.</w:t>
      </w:r>
    </w:p>
  </w:comment>
  <w:comment w:id="6" w:initials="Q" w:author="Qanu" w:date="2026-10-17T00:00:00.000Z">
    <w:p>
      <w:pPr>
        <w:bidi/>
      </w:pPr>
      <w:r>
        <w:rPr>
          <w:b/>
          <w:bCs/>
          <w:rtl/>
        </w:rPr>
        <w:t xml:space="preserve">ملاحظة صياغة</w:t>
      </w:r>
    </w:p>
    <w:p>
      <w:pPr>
        <w:bidi/>
      </w:pPr>
      <w:r>
        <w:rPr>
          <w:rtl/>
        </w:rPr>
        <w:t xml:space="preserve">إذا وقّع وكيل فأرفقوا وكالة سارية تشمل المرافعة، وأعدّوا نصها من </w:t>
      </w:r>
      <w:hyperlink w:history="1" r:id="rId7hdtbgw3rwcigznctazww">
        <w:r>
          <w:rPr>
            <w:rStyle w:val="Hyperlink"/>
            <w:rtl/>
          </w:rPr>
          <w:t xml:space="preserve">نموذج الوكالة</w:t>
        </w:r>
      </w:hyperlink>
      <w:r>
        <w:rPr>
          <w:rtl/>
        </w:rPr>
        <w:t xml:space="preserve"> ثم أصدروها من القناة الرسمية.</w:t>
      </w:r>
      <w:r>
        <w:rPr>
          <w:rtl/>
        </w:rPr>
        <w:t xml:space="preserve"> [3][1]</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BM Plex Sans Arabic">
    <w:charset w:val="B2"/>
    <w:family w:val="auto"/>
    <w:pitch w:val="variable"/>
    <w:sig w:usb0="E0002AFF" w:usb1="C000247B" w:usb2="00000009" w:usb3="00000000" w:csb0="000001FF" w:csb1="00000000"/>
    <w:embedRegular r:id="rId1" w:fontKey="{239F179B-172A-416A-16A8-4A710886C0D7}"/>
    <w:embedBold r:id="rId2" w:fontKey="{7C17DABD-F38B-0A4C-DDBB-A2C76701933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pPr>
    <w:r>
      <w:rPr>
        <w:color w:val="555555"/>
        <w:sz w:val="16"/>
        <w:szCs w:val="16"/>
        <w:rtl/>
      </w:rPr>
      <w:t xml:space="preserve">نموذج استرشادي – ليس استشارة قانونية – قانو – آخر مراجعة 17 أكتوبر 2026 – ‪https://www.qanu.ai/ar/نماذج/نموذج-صحيفة-دعوى‬</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pPr>
    <w:r>
      <w:rPr>
        <w:color w:val="555555"/>
        <w:sz w:val="16"/>
        <w:szCs w:val="16"/>
        <w:rtl/>
      </w:rPr>
      <w:t xml:space="preserve">نموذج استرشادي – ليس استشارة قانونية – قانو – آخر مراجعة 17 أكتوبر 2026 – ‪https://www.qanu.ai/ar/نماذج/نموذج-صحيفة-دعوى‬</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Arabic" w:cs="IBM Plex Sans Arabic" w:eastAsia="IBM Plex Sans Arabic" w:hAnsi="IBM Plex Sans Arabic"/>
        <w:sz w:val="21"/>
        <w:szCs w:val="21"/>
        <w:lang w:val="ar-SA"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IBM Plex Sans Arabic" w:cs="IBM Plex Sans Arabic" w:eastAsia="IBM Plex Sans Arabic" w:hAnsi="IBM Plex Sans Arabic"/>
      <w:b/>
      <w:bCs/>
      <w:color w:val="111111"/>
      <w:sz w:val="36"/>
      <w:szCs w:val="36"/>
    </w:rPr>
  </w:style>
  <w:style w:type="paragraph" w:styleId="Heading1">
    <w:name w:val="Heading 1"/>
    <w:basedOn w:val="Normal"/>
    <w:next w:val="Normal"/>
    <w:qFormat/>
    <w:pPr>
      <w:keepNext/>
      <w:spacing w:after="120" w:before="320"/>
    </w:pPr>
    <w:rPr>
      <w:rFonts w:ascii="IBM Plex Sans Arabic" w:cs="IBM Plex Sans Arabic" w:eastAsia="IBM Plex Sans Arabic" w:hAnsi="IBM Plex Sans Arabic"/>
      <w:b/>
      <w:bCs/>
      <w:color w:val="111111"/>
      <w:sz w:val="26"/>
      <w:szCs w:val="26"/>
    </w:rPr>
  </w:style>
  <w:style w:type="paragraph" w:styleId="Heading2">
    <w:name w:val="Heading 2"/>
    <w:basedOn w:val="Normal"/>
    <w:next w:val="Normal"/>
    <w:qFormat/>
    <w:pPr>
      <w:keepNext/>
      <w:spacing w:after="120" w:before="240"/>
    </w:pPr>
    <w:rPr>
      <w:rFonts w:ascii="IBM Plex Sans Arabic" w:cs="IBM Plex Sans Arabic" w:eastAsia="IBM Plex Sans Arabic" w:hAnsi="IBM Plex Sans Arabic"/>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dvrpttemhyh7rlltesamr" Type="http://schemas.openxmlformats.org/officeDocument/2006/relationships/hyperlink" Target="https://www.qanu.ai/ar/%D9%86%D9%85%D8%A7%D8%B0%D8%AC/%D9%86%D9%85%D9%88%D8%B0%D8%AC-%D9%88%D9%83%D8%A7%D9%84%D8%A9" TargetMode="External"/><Relationship Id="rIdmip8et252fgof4igbixin" Type="http://schemas.openxmlformats.org/officeDocument/2006/relationships/hyperlink" Target="https://www.qanu.ai/ar/use-cases/%D8%A8%D8%AD%D8%AB-%D9%82%D8%A7%D9%86%D9%88%D9%86%D9%8A" TargetMode="External"/><Relationship Id="rId7hdtbgw3rwcigznctazww" Type="http://schemas.openxmlformats.org/officeDocument/2006/relationships/hyperlink" Target="https://www.qanu.ai/ar/%D9%86%D9%85%D8%A7%D8%B0%D8%AC/%D9%86%D9%85%D9%88%D8%B0%D8%AC-%D9%88%D9%83%D8%A7%D9%84%D8%A9"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3ymdqsah1z0an4ckyddlh" Type="http://schemas.openxmlformats.org/officeDocument/2006/relationships/hyperlink" Target="https://www.moj.gov.sa/ar/eServices/Pages/928b8f02-19a7-482b-ba0e-29a151d9a900.aspx" TargetMode="External"/><Relationship Id="rId4jrnso4clfxy7ntmx5ms8" Type="http://schemas.openxmlformats.org/officeDocument/2006/relationships/hyperlink" Target="https://najiz.sa/applications/landing" TargetMode="External"/><Relationship Id="rIdz5pyvsyvjdvdefjdwmjex" Type="http://schemas.openxmlformats.org/officeDocument/2006/relationships/hyperlink" Target="https://www.adjd.gov.ae/" TargetMode="External"/><Relationship Id="rIdffufzjecvdgnapgjkqp3l" Type="http://schemas.openxmlformats.org/officeDocument/2006/relationships/hyperlink" Target="https://www.dc.gov.ae/" TargetMode="External"/><Relationship Id="rIddpqb9cvfma4hz6llgypke" Type="http://schemas.openxmlformats.org/officeDocument/2006/relationships/hyperlink" Target="https://creativecommons.org/licenses/by/4.0/deed.ar" TargetMode="External"/><Relationship Id="rIdvekork35cbycnnyyl7knh" Type="http://schemas.openxmlformats.org/officeDocument/2006/relationships/hyperlink" Target="https://www.moj.gov.sa/ar/eServices/Pages/928b8f02-19a7-482b-ba0e-29a151d9a900.aspx" TargetMode="External"/><Relationship Id="rId3zpwzq6pc8cb50jfp2te_" Type="http://schemas.openxmlformats.org/officeDocument/2006/relationships/hyperlink" Target="https://najiz.sa/applications/landing" TargetMode="External"/><Relationship Id="rIdzc0z7l6tco_7wwjagndh_" Type="http://schemas.openxmlformats.org/officeDocument/2006/relationships/hyperlink" Target="https://www.moj.gov.sa/ar/eServices/pages/3472d517-7cb4-4cd5-a6bc-2abc9751eea3.aspx" TargetMode="External"/><Relationship Id="rIdomm3a1l4rneyin2nbd5rz" Type="http://schemas.openxmlformats.org/officeDocument/2006/relationships/hyperlink" Target="https://www.adjd.gov.ae/" TargetMode="External"/><Relationship Id="rIdydzfty807ak-8frbotmjp" Type="http://schemas.openxmlformats.org/officeDocument/2006/relationships/hyperlink" Target="https://www.dc.gov.ae/" TargetMode="External"/><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صحيفة دعوى مع ملاحظات الصياغة</dc:title>
  <dc:creator>Qanu</dc:creator>
  <cp:keywords>صحيفة دعوى, ناجز, مرافعة, دول الخليج</cp:keywords>
  <dc:description>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17 أكتوبر 2026. احرص على مراجعته من محامٍ مرخّص في دولتك قبل استخدامه، وحيثما كان النموذج أو المنصة الرسمية إلزامياً فهو المعتمد.</dc:description>
  <cp:lastModifiedBy>Qanu</cp:lastModifiedBy>
  <cp:revision>1</cp:revision>
  <dcterms:created xsi:type="dcterms:W3CDTF">2026-10-17T19:21:01.741Z</dcterms:created>
  <dcterms:modified xsi:type="dcterms:W3CDTF">2026-10-17T19:21:01.741Z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https://www.qanu.ai/ar/نماذج/نموذج-صحيفة-دعوى</vt:lpwstr>
  </property>
</Properties>
</file>