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في السعودية تُودَع المذكرة قبل الجلسة، والدفوع الشكلية قبل أي دفاع موضوعي.</w:t>
      </w:r>
      <w:r>
        <w:rPr>
          <w:rtl/>
        </w:rPr>
        <w:t xml:space="preserve"> أمام المحكمة التجارية يودع المدعى عليه، عدا الطلبات المستعجلة، مذكرة بدفاعه تشتمل على جوابه وجميع دفوعه وطلباته وأسانيده قبل الجلسة بيوم واحد على الأقل.</w:t>
      </w:r>
      <w:r>
        <w:rPr>
          <w:rtl/>
        </w:rPr>
        <w:t xml:space="preserve"> [1]</w:t>
      </w:r>
      <w:r>
        <w:rPr>
          <w:rtl/>
        </w:rPr>
        <w:t xml:space="preserve"> وأمام المحكمة العامة يكون الإيداع قبل الجلسة بثلاثة أيام، وأمام المحاكم الأخرى بيوم.</w:t>
      </w:r>
      <w:r>
        <w:rPr>
          <w:rtl/>
        </w:rPr>
        <w:t xml:space="preserve"> [2]</w:t>
      </w:r>
      <w:r>
        <w:rPr>
          <w:rtl/>
        </w:rPr>
        <w:t xml:space="preserve"> والدفع ببطلان الصحيفة أو بعدم الاختصاص المكاني أو بالإحالة يُبدى قبل أي طلب أو دفاع وإلا سقط.</w:t>
      </w:r>
      <w:r>
        <w:rPr>
          <w:rtl/>
        </w:rPr>
        <w:t xml:space="preserve"> [2]</w:t>
      </w:r>
      <w:r>
        <w:rPr>
          <w:rtl/>
        </w:rPr>
        <w:t xml:space="preserve"> وفي الإمارات ينظّم مرسوم بقانون اتحادي رقم (42) لسنة 2022 تبادل المذكرات والدفوع، ويشيع استعمال «مذكرة جوابية». ولا تورد هذه الصفحة رقم مادة من ذلك المرسوم.</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المحاكم التجارية: </w:t>
      </w:r>
      <w:hyperlink w:history="1" r:id="rIdvhaaskfz9ksdhoeo_emqf">
        <w:r>
          <w:rPr>
            <w:rStyle w:val="Hyperlink"/>
            <w:sz w:val="17"/>
            <w:szCs w:val="17"/>
          </w:rPr>
          <w:t xml:space="preserve">‪https://laws.boe.gov.sa/BoeLaws/Laws/LawDetails/38334008-3b70-4c6c-b3af-aba3016a8061/1‬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المرافعات الشرعية: </w:t>
      </w:r>
      <w:hyperlink w:history="1" r:id="rId8-jahevmqvdwaquazbf_g">
        <w:r>
          <w:rPr>
            <w:rStyle w:val="Hyperlink"/>
            <w:sz w:val="17"/>
            <w:szCs w:val="17"/>
          </w:rPr>
          <w:t xml:space="preserve">‪https://laws.boe.gov.sa/BoeLaws/Laws/LawDetails/f0eaae46-9f84-40ee-815e-a9a700f268b3/1‬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الإثبات: </w:t>
      </w:r>
      <w:hyperlink w:history="1" r:id="rId0cjooxr6_koqolyb3bwna">
        <w:r>
          <w:rPr>
            <w:rStyle w:val="Hyperlink"/>
            <w:sz w:val="17"/>
            <w:szCs w:val="17"/>
          </w:rPr>
          <w:t xml:space="preserve">‪https://laws.boe.gov.sa/BoeLaws/Laws/LawDetails/2716057c-c097-4bad-8e1e-ae1400c678d5/1‬</w:t>
        </w:r>
      </w:hyperlink>
    </w:p>
    <w:p>
      <w:pPr>
        <w:bidi/>
        <w:spacing w:after="240"/>
      </w:pPr>
    </w:p>
    <w:p>
      <w:pPr>
        <w:pStyle w:val="Title"/>
        <w:bidi/>
      </w:pPr>
      <w:r>
        <w:rPr>
          <w:rtl/>
        </w:rPr>
        <w:t xml:space="preserve">مذكرة دفاع</w:t>
      </w:r>
    </w:p>
    <w:p>
      <w:pPr>
        <w:bidi/>
        <w:spacing w:after="240"/>
      </w:pPr>
      <w:r>
        <w:rPr>
          <w:color w:val="444444"/>
          <w:rtl/>
        </w:rPr>
        <w:t xml:space="preserve">مذكرة جوابية في دعوى تجارية أو مدنية أو عمالية في دول الخليج. ليست مذكرة في دعوى جزائية، وليست مذكرة استئناف.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هذه نقطة انطلاق، وتُراجع من محامٍ مرخّص في الدولة المعنية قبل الاستعمال.</w:t>
      </w:r>
    </w:p>
    <w:p>
      <w:pPr>
        <w:pStyle w:val="Heading1"/>
        <w:bidi/>
      </w:pPr>
      <w:commentRangeStart w:id="0"/>
      <w:r>
        <w:rPr>
          <w:rtl/>
        </w:rPr>
        <w:t xml:space="preserve">البند (1): الترويسة</w:t>
      </w:r>
      <w:commentRangeEnd w:id="0"/>
      <w:r>
        <w:rPr>
          <w:rtl/>
        </w:rPr>
        <w:commentReference w:id="0"/>
      </w:r>
    </w:p>
    <w:p>
      <w:pPr>
        <w:bidi/>
      </w:pPr>
      <w:r>
        <w:rPr>
          <w:rtl/>
        </w:rPr>
        <w:t xml:space="preserve">إلى </w:t>
      </w:r>
      <w:r>
        <w:rPr>
          <w:highlight w:val="yellow"/>
          <w:rtl/>
        </w:rPr>
        <w:t xml:space="preserve">[</w:t>
      </w:r>
      <w:r>
        <w:rPr>
          <w:highlight w:val="yellow"/>
          <w:rtl/>
        </w:rPr>
        <w:t xml:space="preserve">المحكمة</w:t>
      </w:r>
      <w:r>
        <w:rPr>
          <w:highlight w:val="yellow"/>
          <w:rtl/>
        </w:rPr>
        <w:t xml:space="preserve">]</w:t>
      </w:r>
      <w:r>
        <w:rPr>
          <w:rtl/>
        </w:rPr>
        <w:t xml:space="preserve"> في </w:t>
      </w:r>
      <w:r>
        <w:rPr>
          <w:highlight w:val="yellow"/>
          <w:rtl/>
        </w:rPr>
        <w:t xml:space="preserve">[</w:t>
      </w:r>
      <w:r>
        <w:rPr>
          <w:highlight w:val="yellow"/>
          <w:rtl/>
        </w:rPr>
        <w:t xml:space="preserve">المدينة</w:t>
      </w:r>
      <w:r>
        <w:rPr>
          <w:highlight w:val="yellow"/>
          <w:rtl/>
        </w:rPr>
        <w:t xml:space="preserve">]</w:t>
      </w:r>
      <w:r>
        <w:rPr>
          <w:rtl/>
        </w:rPr>
        <w:t xml:space="preserve">، الدائرة </w:t>
      </w:r>
      <w:r>
        <w:rPr>
          <w:highlight w:val="yellow"/>
          <w:rtl/>
        </w:rPr>
        <w:t xml:space="preserve">[</w:t>
      </w:r>
      <w:r>
        <w:rPr>
          <w:highlight w:val="yellow"/>
          <w:rtl/>
        </w:rPr>
        <w:t xml:space="preserve">●</w:t>
      </w:r>
      <w:r>
        <w:rPr>
          <w:highlight w:val="yellow"/>
          <w:rtl/>
        </w:rPr>
        <w:t xml:space="preserve">]</w:t>
      </w:r>
      <w:r>
        <w:rPr>
          <w:rtl/>
        </w:rPr>
        <w:t xml:space="preserve">. رقم الدعوى </w:t>
      </w:r>
      <w:r>
        <w:rPr>
          <w:highlight w:val="yellow"/>
          <w:rtl/>
        </w:rPr>
        <w:t xml:space="preserve">[</w:t>
      </w:r>
      <w:r>
        <w:rPr>
          <w:highlight w:val="yellow"/>
          <w:rtl/>
        </w:rPr>
        <w:t xml:space="preserve">●</w:t>
      </w:r>
      <w:r>
        <w:rPr>
          <w:highlight w:val="yellow"/>
          <w:rtl/>
        </w:rPr>
        <w:t xml:space="preserve">]</w:t>
      </w:r>
      <w:r>
        <w:rPr>
          <w:rtl/>
        </w:rPr>
        <w:t xml:space="preserve">. جلسة </w:t>
      </w:r>
      <w:r>
        <w:rPr>
          <w:highlight w:val="yellow"/>
          <w:rtl/>
        </w:rPr>
        <w:t xml:space="preserve">[</w:t>
      </w:r>
      <w:r>
        <w:rPr>
          <w:highlight w:val="yellow"/>
          <w:rtl/>
        </w:rPr>
        <w:t xml:space="preserve">التاريخ</w:t>
      </w:r>
      <w:r>
        <w:rPr>
          <w:highlight w:val="yellow"/>
          <w:rtl/>
        </w:rPr>
        <w:t xml:space="preserve">]</w:t>
      </w:r>
      <w:r>
        <w:rPr>
          <w:rtl/>
        </w:rPr>
        <w:t xml:space="preserve">. نوع الدعوى: </w:t>
      </w:r>
      <w:r>
        <w:rPr>
          <w:highlight w:val="yellow"/>
          <w:rtl/>
        </w:rPr>
        <w:t xml:space="preserve">[</w:t>
      </w:r>
      <w:r>
        <w:rPr>
          <w:highlight w:val="yellow"/>
          <w:rtl/>
        </w:rPr>
        <w:t xml:space="preserve">تجارية / مدنية / عمالية</w:t>
      </w:r>
      <w:r>
        <w:rPr>
          <w:highlight w:val="yellow"/>
          <w:rtl/>
        </w:rPr>
        <w:t xml:space="preserve">]</w:t>
      </w:r>
      <w:r>
        <w:rPr>
          <w:rtl/>
        </w:rPr>
        <w:t xml:space="preserve">.</w:t>
      </w:r>
    </w:p>
    <w:p>
      <w:pPr>
        <w:pStyle w:val="Heading1"/>
        <w:bidi/>
      </w:pPr>
      <w:commentRangeStart w:id="1"/>
      <w:r>
        <w:rPr>
          <w:rtl/>
        </w:rPr>
        <w:t xml:space="preserve">البند (2): الخصوم</w:t>
      </w:r>
      <w:commentRangeEnd w:id="1"/>
      <w:r>
        <w:rPr>
          <w:rtl/>
        </w:rPr>
        <w:commentReference w:id="1"/>
      </w:r>
    </w:p>
    <w:p>
      <w:pPr>
        <w:bidi/>
      </w:pPr>
      <w:r>
        <w:rPr>
          <w:rtl/>
        </w:rPr>
        <w:t xml:space="preserve">المدعى عليه: </w:t>
      </w:r>
      <w:r>
        <w:rPr>
          <w:highlight w:val="yellow"/>
          <w:rtl/>
        </w:rPr>
        <w:t xml:space="preserve">[</w:t>
      </w:r>
      <w:r>
        <w:rPr>
          <w:highlight w:val="yellow"/>
          <w:rtl/>
        </w:rPr>
        <w:t xml:space="preserve">الاسم، الهوية أو السجل، العنوان</w:t>
      </w:r>
      <w:r>
        <w:rPr>
          <w:highlight w:val="yellow"/>
          <w:rtl/>
        </w:rPr>
        <w:t xml:space="preserve">]</w:t>
      </w:r>
      <w:r>
        <w:rPr>
          <w:rtl/>
        </w:rPr>
        <w:t xml:space="preserve">. ووكيله: </w:t>
      </w:r>
      <w:r>
        <w:rPr>
          <w:highlight w:val="yellow"/>
          <w:rtl/>
        </w:rPr>
        <w:t xml:space="preserve">[</w:t>
      </w:r>
      <w:r>
        <w:rPr>
          <w:highlight w:val="yellow"/>
          <w:rtl/>
        </w:rPr>
        <w:t xml:space="preserve">الاسم، رقم الوكالة</w:t>
      </w:r>
      <w:r>
        <w:rPr>
          <w:highlight w:val="yellow"/>
          <w:rtl/>
        </w:rPr>
        <w:t xml:space="preserve">]</w:t>
      </w:r>
      <w:r>
        <w:rPr>
          <w:rtl/>
        </w:rPr>
        <w:t xml:space="preserve">. المدعي: </w:t>
      </w:r>
      <w:r>
        <w:rPr>
          <w:highlight w:val="yellow"/>
          <w:rtl/>
        </w:rPr>
        <w:t xml:space="preserve">[</w:t>
      </w:r>
      <w:r>
        <w:rPr>
          <w:highlight w:val="yellow"/>
          <w:rtl/>
        </w:rPr>
        <w:t xml:space="preserve">الاسم، العنوان</w:t>
      </w:r>
      <w:r>
        <w:rPr>
          <w:highlight w:val="yellow"/>
          <w:rtl/>
        </w:rPr>
        <w:t xml:space="preserve">]</w:t>
      </w:r>
      <w:r>
        <w:rPr>
          <w:rtl/>
        </w:rPr>
        <w:t xml:space="preserve">.</w:t>
      </w:r>
    </w:p>
    <w:p>
      <w:pPr>
        <w:pStyle w:val="Heading1"/>
        <w:bidi/>
      </w:pPr>
      <w:r>
        <w:rPr>
          <w:rtl/>
        </w:rPr>
        <w:t xml:space="preserve">البند (3): ملخص الدعوى وطلبات المدعي</w:t>
      </w:r>
    </w:p>
    <w:p>
      <w:pPr>
        <w:bidi/>
      </w:pPr>
      <w:r>
        <w:rPr>
          <w:rtl/>
        </w:rPr>
        <w:t xml:space="preserve">يقيم المدعي دعواه للمطالبة بـ</w:t>
      </w:r>
      <w:r>
        <w:rPr>
          <w:highlight w:val="yellow"/>
          <w:rtl/>
        </w:rPr>
        <w:t xml:space="preserve">[</w:t>
      </w:r>
      <w:r>
        <w:rPr>
          <w:highlight w:val="yellow"/>
          <w:rtl/>
        </w:rPr>
        <w:t xml:space="preserve">●</w:t>
      </w:r>
      <w:r>
        <w:rPr>
          <w:highlight w:val="yellow"/>
          <w:rtl/>
        </w:rPr>
        <w:t xml:space="preserve">]</w:t>
      </w:r>
      <w:r>
        <w:rPr>
          <w:rtl/>
        </w:rPr>
        <w:t xml:space="preserve">، على سند </w:t>
      </w:r>
      <w:r>
        <w:rPr>
          <w:highlight w:val="yellow"/>
          <w:rtl/>
        </w:rPr>
        <w:t xml:space="preserve">[</w:t>
      </w:r>
      <w:r>
        <w:rPr>
          <w:highlight w:val="yellow"/>
          <w:rtl/>
        </w:rPr>
        <w:t xml:space="preserve">●</w:t>
      </w:r>
      <w:r>
        <w:rPr>
          <w:highlight w:val="yellow"/>
          <w:rtl/>
        </w:rPr>
        <w:t xml:space="preserve">]</w:t>
      </w:r>
      <w:r>
        <w:rPr>
          <w:rtl/>
        </w:rPr>
        <w:t xml:space="preserve">. وتُقرأ الوقائع كما وردت في </w:t>
      </w:r>
      <w:hyperlink w:history="1" r:id="rIdafsaqpgn1uh_3-5yaijf1">
        <w:r>
          <w:rPr>
            <w:rStyle w:val="Hyperlink"/>
            <w:rtl/>
          </w:rPr>
          <w:t xml:space="preserve">صحيفة الدعوى</w:t>
        </w:r>
      </w:hyperlink>
      <w:r>
        <w:rPr>
          <w:rtl/>
        </w:rPr>
        <w:t xml:space="preserve">، لا كما يتمنى المدعى عليه أن تكون.</w:t>
      </w:r>
    </w:p>
    <w:p>
      <w:pPr>
        <w:pStyle w:val="Heading1"/>
        <w:bidi/>
      </w:pPr>
      <w:commentRangeStart w:id="2"/>
      <w:r>
        <w:rPr>
          <w:rtl/>
        </w:rPr>
        <w:t xml:space="preserve">البند (4): الدفوع الشكلية أولاً</w:t>
      </w:r>
      <w:commentRangeEnd w:id="2"/>
      <w:r>
        <w:rPr>
          <w:rtl/>
        </w:rPr>
        <w:commentReference w:id="2"/>
      </w:r>
    </w:p>
    <w:p>
      <w:pPr>
        <w:bidi/>
        <w:ind w:start="360" w:hanging="0"/>
      </w:pPr>
      <w:r>
        <w:rPr>
          <w:rtl/>
        </w:rPr>
        <w:t xml:space="preserve">(1) بطلان الصحيفة: </w:t>
      </w:r>
      <w:r>
        <w:rPr>
          <w:highlight w:val="yellow"/>
          <w:rtl/>
        </w:rPr>
        <w:t xml:space="preserve">[</w:t>
      </w:r>
      <w:r>
        <w:rPr>
          <w:highlight w:val="yellow"/>
          <w:rtl/>
        </w:rPr>
        <w:t xml:space="preserve">وجه البطلان / لا يُدفع به</w:t>
      </w:r>
      <w:r>
        <w:rPr>
          <w:highlight w:val="yellow"/>
          <w:rtl/>
        </w:rPr>
        <w:t xml:space="preserve">]</w:t>
      </w:r>
      <w:r>
        <w:rPr>
          <w:rtl/>
        </w:rPr>
        <w:t xml:space="preserve">.</w:t>
      </w:r>
    </w:p>
    <w:p>
      <w:pPr>
        <w:bidi/>
        <w:ind w:start="360" w:hanging="0"/>
      </w:pPr>
      <w:r>
        <w:rPr>
          <w:rtl/>
        </w:rPr>
        <w:t xml:space="preserve">(2) عدم الاختصاص المكاني: </w:t>
      </w:r>
      <w:r>
        <w:rPr>
          <w:highlight w:val="yellow"/>
          <w:rtl/>
        </w:rPr>
        <w:t xml:space="preserve">[</w:t>
      </w:r>
      <w:r>
        <w:rPr>
          <w:highlight w:val="yellow"/>
          <w:rtl/>
        </w:rPr>
        <w:t xml:space="preserve">● / لا يُدفع به</w:t>
      </w:r>
      <w:r>
        <w:rPr>
          <w:highlight w:val="yellow"/>
          <w:rtl/>
        </w:rPr>
        <w:t xml:space="preserve">]</w:t>
      </w:r>
      <w:r>
        <w:rPr>
          <w:rtl/>
        </w:rPr>
        <w:t xml:space="preserve">.</w:t>
      </w:r>
    </w:p>
    <w:p>
      <w:pPr>
        <w:bidi/>
        <w:ind w:start="360" w:hanging="0"/>
      </w:pPr>
      <w:r>
        <w:rPr>
          <w:rtl/>
        </w:rPr>
        <w:t xml:space="preserve">(3) الإحالة: </w:t>
      </w:r>
      <w:r>
        <w:rPr>
          <w:highlight w:val="yellow"/>
          <w:rtl/>
        </w:rPr>
        <w:t xml:space="preserve">[</w:t>
      </w:r>
      <w:r>
        <w:rPr>
          <w:highlight w:val="yellow"/>
          <w:rtl/>
        </w:rPr>
        <w:t xml:space="preserve">إلى ● / لا تُطلب</w:t>
      </w:r>
      <w:r>
        <w:rPr>
          <w:highlight w:val="yellow"/>
          <w:rtl/>
        </w:rPr>
        <w:t xml:space="preserve">]</w:t>
      </w:r>
      <w:r>
        <w:rPr>
          <w:rtl/>
        </w:rPr>
        <w:t xml:space="preserve">.</w:t>
      </w:r>
    </w:p>
    <w:p>
      <w:pPr>
        <w:pStyle w:val="Heading1"/>
        <w:bidi/>
      </w:pPr>
      <w:commentRangeStart w:id="3"/>
      <w:r>
        <w:rPr>
          <w:rtl/>
        </w:rPr>
        <w:t xml:space="preserve">البند (5): الدفوع بعدم القبول</w:t>
      </w:r>
      <w:commentRangeEnd w:id="3"/>
      <w:r>
        <w:rPr>
          <w:rtl/>
        </w:rPr>
        <w:commentReference w:id="3"/>
      </w:r>
    </w:p>
    <w:p>
      <w:pPr>
        <w:bidi/>
        <w:ind w:start="360" w:hanging="0"/>
      </w:pPr>
      <w:r>
        <w:rPr>
          <w:rtl/>
        </w:rPr>
        <w:t xml:space="preserve">(1) انتفاء الصفة أو المصلحة: </w:t>
      </w:r>
      <w:r>
        <w:rPr>
          <w:highlight w:val="yellow"/>
          <w:rtl/>
        </w:rPr>
        <w:t xml:space="preserve">[</w:t>
      </w:r>
      <w:r>
        <w:rPr>
          <w:highlight w:val="yellow"/>
          <w:rtl/>
        </w:rPr>
        <w:t xml:space="preserve">● / لا يُدفع به</w:t>
      </w:r>
      <w:r>
        <w:rPr>
          <w:highlight w:val="yellow"/>
          <w:rtl/>
        </w:rPr>
        <w:t xml:space="preserve">]</w:t>
      </w:r>
      <w:r>
        <w:rPr>
          <w:rtl/>
        </w:rPr>
        <w:t xml:space="preserve">.</w:t>
      </w:r>
    </w:p>
    <w:p>
      <w:pPr>
        <w:bidi/>
        <w:ind w:start="360" w:hanging="0"/>
      </w:pPr>
      <w:r>
        <w:rPr>
          <w:rtl/>
        </w:rPr>
        <w:t xml:space="preserve">(2) عدم سماع الدعوى لمضي المدة: </w:t>
      </w:r>
      <w:r>
        <w:rPr>
          <w:highlight w:val="yellow"/>
          <w:rtl/>
        </w:rPr>
        <w:t xml:space="preserve">[</w:t>
      </w:r>
      <w:r>
        <w:rPr>
          <w:highlight w:val="yellow"/>
          <w:rtl/>
        </w:rPr>
        <w:t xml:space="preserve">● / لا يُدفع به</w:t>
      </w:r>
      <w:r>
        <w:rPr>
          <w:highlight w:val="yellow"/>
          <w:rtl/>
        </w:rPr>
        <w:t xml:space="preserve">]</w:t>
      </w:r>
      <w:r>
        <w:rPr>
          <w:rtl/>
        </w:rPr>
        <w:t xml:space="preserve">.</w:t>
      </w:r>
    </w:p>
    <w:p>
      <w:pPr>
        <w:bidi/>
        <w:ind w:start="360" w:hanging="0"/>
      </w:pPr>
      <w:r>
        <w:rPr>
          <w:rtl/>
        </w:rPr>
        <w:t xml:space="preserve">(3) عدم الإخطار المسبق حيث يلزم: </w:t>
      </w:r>
      <w:r>
        <w:rPr>
          <w:highlight w:val="yellow"/>
          <w:rtl/>
        </w:rPr>
        <w:t xml:space="preserve">[</w:t>
      </w:r>
      <w:r>
        <w:rPr>
          <w:highlight w:val="yellow"/>
          <w:rtl/>
        </w:rPr>
        <w:t xml:space="preserve">● / لا ينطبق</w:t>
      </w:r>
      <w:r>
        <w:rPr>
          <w:highlight w:val="yellow"/>
          <w:rtl/>
        </w:rPr>
        <w:t xml:space="preserve">]</w:t>
      </w:r>
      <w:r>
        <w:rPr>
          <w:rtl/>
        </w:rPr>
        <w:t xml:space="preserve">.</w:t>
      </w:r>
    </w:p>
    <w:p>
      <w:pPr>
        <w:pStyle w:val="Heading1"/>
        <w:bidi/>
      </w:pPr>
      <w:commentRangeStart w:id="4"/>
      <w:r>
        <w:rPr>
          <w:rtl/>
        </w:rPr>
        <w:t xml:space="preserve">البند (6): الدفاع الموضوعي</w:t>
      </w:r>
      <w:commentRangeEnd w:id="4"/>
      <w:r>
        <w:rPr>
          <w:rtl/>
        </w:rPr>
        <w:commentReference w:id="4"/>
      </w:r>
    </w:p>
    <w:p>
      <w:pPr>
        <w:bidi/>
        <w:ind w:start="360" w:hanging="0"/>
      </w:pPr>
      <w:r>
        <w:rPr>
          <w:rtl/>
        </w:rPr>
        <w:t xml:space="preserve">(1) الرد على الواقعة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النفي أو الإقرار الجزئي</w:t>
      </w:r>
      <w:r>
        <w:rPr>
          <w:highlight w:val="yellow"/>
          <w:rtl/>
        </w:rPr>
        <w:t xml:space="preserve">]</w:t>
      </w:r>
      <w:r>
        <w:rPr>
          <w:rtl/>
        </w:rPr>
        <w:t xml:space="preserve">.</w:t>
      </w:r>
    </w:p>
    <w:p>
      <w:pPr>
        <w:bidi/>
        <w:ind w:start="360" w:hanging="0"/>
      </w:pPr>
      <w:r>
        <w:rPr>
          <w:rtl/>
        </w:rPr>
        <w:t xml:space="preserve">(2) الرد على السند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w:t>
      </w:r>
      <w:r>
        <w:rPr>
          <w:highlight w:val="yellow"/>
          <w:rtl/>
        </w:rPr>
        <w:t xml:space="preserve">]</w:t>
      </w:r>
      <w:r>
        <w:rPr>
          <w:rtl/>
        </w:rPr>
        <w:t xml:space="preserve">.</w:t>
      </w:r>
    </w:p>
    <w:p>
      <w:pPr>
        <w:bidi/>
        <w:ind w:start="360" w:hanging="0"/>
      </w:pPr>
      <w:r>
        <w:rPr>
          <w:rtl/>
        </w:rPr>
        <w:t xml:space="preserve">(3) </w:t>
      </w:r>
      <w:r>
        <w:rPr>
          <w:highlight w:val="yellow"/>
          <w:rtl/>
        </w:rPr>
        <w:t xml:space="preserve">[</w:t>
      </w:r>
      <w:r>
        <w:rPr>
          <w:highlight w:val="yellow"/>
          <w:rtl/>
        </w:rPr>
        <w:t xml:space="preserve">السبب الأجنبي / التنفيذ / الوفاء / المقاصة</w:t>
      </w:r>
      <w:r>
        <w:rPr>
          <w:highlight w:val="yellow"/>
          <w:rtl/>
        </w:rPr>
        <w:t xml:space="preserve">]</w:t>
      </w:r>
      <w:r>
        <w:rPr>
          <w:rtl/>
        </w:rPr>
        <w:t xml:space="preserve">، إن انطبق: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5"/>
      <w:r>
        <w:rPr>
          <w:rtl/>
        </w:rPr>
        <w:t xml:space="preserve">البند (7): الأدلة</w:t>
      </w:r>
      <w:commentRangeEnd w:id="5"/>
      <w:r>
        <w:rPr>
          <w:rtl/>
        </w:rPr>
        <w:commentReference w:id="5"/>
      </w:r>
    </w:p>
    <w:p>
      <w:pPr>
        <w:bidi/>
      </w:pPr>
      <w:r>
        <w:rPr>
          <w:rtl/>
        </w:rPr>
        <w:t xml:space="preserve">على المدعي إثبات ما يدعيه، وللمدعى عليه نفيه. ويطلب المدعى عليه: </w:t>
      </w:r>
      <w:r>
        <w:rPr>
          <w:highlight w:val="yellow"/>
          <w:rtl/>
        </w:rPr>
        <w:t xml:space="preserve">[</w:t>
      </w:r>
      <w:r>
        <w:rPr>
          <w:highlight w:val="yellow"/>
          <w:rtl/>
        </w:rPr>
        <w:t xml:space="preserve">الخبرة / الاستجواب / توجيه اليمين الحاسمة / لا شيء من ذلك</w:t>
      </w:r>
      <w:r>
        <w:rPr>
          <w:highlight w:val="yellow"/>
          <w:rtl/>
        </w:rPr>
        <w:t xml:space="preserve">]</w:t>
      </w:r>
      <w:r>
        <w:rPr>
          <w:rtl/>
        </w:rPr>
        <w:t xml:space="preserve">.</w:t>
      </w:r>
    </w:p>
    <w:p>
      <w:pPr>
        <w:pStyle w:val="Heading1"/>
        <w:bidi/>
      </w:pPr>
      <w:commentRangeStart w:id="6"/>
      <w:r>
        <w:rPr>
          <w:rtl/>
        </w:rPr>
        <w:t xml:space="preserve">البند (8): الطلب العارض أو الدعوى المتقابلة</w:t>
      </w:r>
      <w:commentRangeEnd w:id="6"/>
      <w:r>
        <w:rPr>
          <w:rtl/>
        </w:rPr>
        <w:commentReference w:id="6"/>
      </w:r>
    </w:p>
    <w:p>
      <w:pPr>
        <w:bidi/>
      </w:pPr>
      <w:r>
        <w:rPr>
          <w:highlight w:val="yellow"/>
          <w:rtl/>
        </w:rPr>
        <w:t xml:space="preserve">[</w:t>
      </w:r>
      <w:r>
        <w:rPr>
          <w:highlight w:val="yellow"/>
          <w:rtl/>
        </w:rPr>
        <w:t xml:space="preserve">لا طلب عارضاً / يطلب المدعى عليه ● على سند ●</w:t>
      </w:r>
      <w:r>
        <w:rPr>
          <w:highlight w:val="yellow"/>
          <w:rtl/>
        </w:rPr>
        <w:t xml:space="preserve">]</w:t>
      </w:r>
      <w:r>
        <w:rPr>
          <w:rtl/>
        </w:rPr>
        <w:t xml:space="preserve">. والدعوى المتقابلة، إن وُجدت: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7"/>
      <w:r>
        <w:rPr>
          <w:rtl/>
        </w:rPr>
        <w:t xml:space="preserve">البند (9): الطلبات الختامية</w:t>
      </w:r>
      <w:commentRangeEnd w:id="7"/>
      <w:r>
        <w:rPr>
          <w:rtl/>
        </w:rPr>
        <w:commentReference w:id="7"/>
      </w:r>
    </w:p>
    <w:p>
      <w:pPr>
        <w:bidi/>
        <w:ind w:start="360" w:hanging="0"/>
      </w:pPr>
      <w:r>
        <w:rPr>
          <w:rtl/>
        </w:rPr>
        <w:t xml:space="preserve">(1) رفض الدعوى.</w:t>
      </w:r>
    </w:p>
    <w:p>
      <w:pPr>
        <w:bidi/>
        <w:ind w:start="360" w:hanging="0"/>
      </w:pPr>
      <w:r>
        <w:rPr>
          <w:rtl/>
        </w:rPr>
        <w:t xml:space="preserve">(2) إلزام المدعي بالمصاريف إن كان لذلك وجه.</w:t>
      </w:r>
    </w:p>
    <w:p>
      <w:pPr>
        <w:bidi/>
        <w:ind w:start="360" w:hanging="0"/>
      </w:pPr>
      <w:r>
        <w:rPr>
          <w:rtl/>
        </w:rPr>
        <w:t xml:space="preserve">(3) </w:t>
      </w:r>
      <w:r>
        <w:rPr>
          <w:highlight w:val="yellow"/>
          <w:rtl/>
        </w:rPr>
        <w:t xml:space="preserve">[</w:t>
      </w:r>
      <w:r>
        <w:rPr>
          <w:highlight w:val="yellow"/>
          <w:rtl/>
        </w:rPr>
        <w:t xml:space="preserve">التعويض عن الدعوى الكيدية / لا يُطلب</w:t>
      </w:r>
      <w:r>
        <w:rPr>
          <w:highlight w:val="yellow"/>
          <w:rtl/>
        </w:rPr>
        <w:t xml:space="preserve">]</w:t>
      </w:r>
      <w:r>
        <w:rPr>
          <w:rtl/>
        </w:rPr>
        <w:t xml:space="preserve">.</w:t>
      </w:r>
    </w:p>
    <w:p>
      <w:pPr>
        <w:pStyle w:val="Heading1"/>
        <w:bidi/>
      </w:pPr>
      <w:r>
        <w:rPr>
          <w:rtl/>
        </w:rPr>
        <w:t xml:space="preserve">البند (10): المرفقات والتوقيع</w:t>
      </w:r>
    </w:p>
    <w:p>
      <w:pPr>
        <w:pBdr>
          <w:top w:val="single" w:color="888888" w:sz="6" w:space="6"/>
          <w:left w:val="single" w:color="888888" w:sz="6" w:space="6"/>
          <w:bottom w:val="single" w:color="888888" w:sz="6" w:space="6"/>
          <w:right w:val="single" w:color="888888" w:sz="6" w:space="6"/>
        </w:pBdr>
        <w:bidi/>
        <w:spacing w:after="120"/>
      </w:pPr>
      <w:r>
        <w:rPr>
          <w:b/>
          <w:bCs/>
          <w:rtl/>
        </w:rPr>
        <w:t xml:space="preserve">مقدم المذكرة:</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أصالة / وكيل</w:t>
      </w:r>
      <w:r>
        <w:rPr>
          <w:highlight w:val="yellow"/>
          <w:rtl/>
        </w:rPr>
        <w:t xml:space="preserve">]</w:t>
      </w:r>
      <w:r>
        <w:rPr>
          <w:rtl/>
        </w:rPr>
        <w:t xml:space="preserve"> · رقم الوكالة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المرفقات:</w:t>
      </w:r>
      <w:r>
        <w:rPr>
          <w:rtl/>
        </w:rPr>
        <w:t xml:space="preserve"> الملحق (1).</w:t>
      </w:r>
    </w:p>
    <w:p>
      <w:pPr>
        <w:pStyle w:val="Heading1"/>
        <w:bidi/>
      </w:pPr>
      <w:commentRangeStart w:id="8"/>
      <w:r>
        <w:rPr>
          <w:rtl/>
        </w:rPr>
        <w:t xml:space="preserve">البند (11): ميعاد الإيداع</w:t>
      </w:r>
      <w:commentRangeEnd w:id="8"/>
      <w:r>
        <w:rPr>
          <w:rtl/>
        </w:rPr>
        <w:commentReference w:id="8"/>
      </w:r>
    </w:p>
    <w:p>
      <w:pPr>
        <w:bidi/>
      </w:pPr>
      <w:r>
        <w:rPr>
          <w:rtl/>
        </w:rPr>
        <w:t xml:space="preserve">تُودَع هذه المذكرة قبل الجلسة المحددة في </w:t>
      </w:r>
      <w:r>
        <w:rPr>
          <w:highlight w:val="yellow"/>
          <w:rtl/>
        </w:rPr>
        <w:t xml:space="preserve">[</w:t>
      </w:r>
      <w:r>
        <w:rPr>
          <w:highlight w:val="yellow"/>
          <w:rtl/>
        </w:rPr>
        <w:t xml:space="preserve">التاريخ</w:t>
      </w:r>
      <w:r>
        <w:rPr>
          <w:highlight w:val="yellow"/>
          <w:rtl/>
        </w:rPr>
        <w:t xml:space="preserve">]</w:t>
      </w:r>
      <w:r>
        <w:rPr>
          <w:rtl/>
        </w:rPr>
        <w:t xml:space="preserve"> بالميعاد الذي ينطبق على هذه المحكمة، لا في يوم الجلسة.</w:t>
      </w:r>
    </w:p>
    <w:p>
      <w:pPr>
        <w:pStyle w:val="Heading1"/>
        <w:pageBreakBefore/>
        <w:bidi/>
      </w:pPr>
      <w:r>
        <w:rPr>
          <w:rtl/>
        </w:rPr>
        <w:t xml:space="preserve">ملاحظات عن المملكة العربية السعودية</w:t>
      </w:r>
    </w:p>
    <w:p>
      <w:pPr>
        <w:bidi/>
      </w:pPr>
      <w:r>
        <w:rPr>
          <w:rtl/>
        </w:rPr>
        <w:t xml:space="preserve">نظام المحاكم التجارية، ونظام المرافعات الشرعية، ونظام الإثبات.</w:t>
      </w:r>
      <w:r>
        <w:rPr>
          <w:rtl/>
        </w:rPr>
        <w:t xml:space="preserve"> [1][2][3]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المحكمة التجارية</w:t>
            </w:r>
          </w:p>
        </w:tc>
        <w:tc>
          <w:tcPr>
            <w:tcMar>
              <w:top w:type="dxa" w:w="80"/>
              <w:left w:type="dxa" w:w="100"/>
              <w:bottom w:type="dxa" w:w="80"/>
              <w:right w:type="dxa" w:w="100"/>
            </w:tcMar>
          </w:tcPr>
          <w:p>
            <w:pPr>
              <w:bidi/>
              <w:spacing w:after="0"/>
            </w:pPr>
            <w:r>
              <w:rPr>
                <w:b w:val="false"/>
                <w:sz w:val="18"/>
                <w:szCs w:val="18"/>
                <w:rtl/>
              </w:rPr>
              <w:t xml:space="preserve">يودع المدعى عليه، عدا الطلبات المستعجلة، مذكرة بدفاعه بجوابه ودفوعه وطلباته وأسانيده قبل الجلسة بيوم واحد على الأقل (المادة الثانية والعشرون).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المرافعات</w:t>
            </w:r>
          </w:p>
        </w:tc>
        <w:tc>
          <w:tcPr>
            <w:tcMar>
              <w:top w:type="dxa" w:w="80"/>
              <w:left w:type="dxa" w:w="100"/>
              <w:bottom w:type="dxa" w:w="80"/>
              <w:right w:type="dxa" w:w="100"/>
            </w:tcMar>
          </w:tcPr>
          <w:p>
            <w:pPr>
              <w:bidi/>
              <w:spacing w:after="0"/>
            </w:pPr>
            <w:r>
              <w:rPr>
                <w:b w:val="false"/>
                <w:sz w:val="18"/>
                <w:szCs w:val="18"/>
                <w:rtl/>
              </w:rPr>
              <w:t xml:space="preserve">الإيداع قبل الجلسة بثلاثة أيام أمام المحكمة العامة، وبيوم أمام المحاكم الأخرى (المادة الخامسة والأربعون).</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سقوط الدفع</w:t>
            </w:r>
          </w:p>
        </w:tc>
        <w:tc>
          <w:tcPr>
            <w:tcMar>
              <w:top w:type="dxa" w:w="80"/>
              <w:left w:type="dxa" w:w="100"/>
              <w:bottom w:type="dxa" w:w="80"/>
              <w:right w:type="dxa" w:w="100"/>
            </w:tcMar>
          </w:tcPr>
          <w:p>
            <w:pPr>
              <w:bidi/>
              <w:spacing w:after="0"/>
            </w:pPr>
            <w:r>
              <w:rPr>
                <w:b w:val="false"/>
                <w:sz w:val="18"/>
                <w:szCs w:val="18"/>
                <w:rtl/>
              </w:rPr>
              <w:t xml:space="preserve">الدفع ببطلان الصحيفة أو بعدم الاختصاص المكاني أو بالإحالة يُبدى قبل أي طلب أو دفاع وإلا سقط (المادة الخامسة والسبعون).</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الاختصاص النوعي</w:t>
            </w:r>
          </w:p>
        </w:tc>
        <w:tc>
          <w:tcPr>
            <w:tcMar>
              <w:top w:type="dxa" w:w="80"/>
              <w:left w:type="dxa" w:w="100"/>
              <w:bottom w:type="dxa" w:w="80"/>
              <w:right w:type="dxa" w:w="100"/>
            </w:tcMar>
          </w:tcPr>
          <w:p>
            <w:pPr>
              <w:bidi/>
              <w:spacing w:after="0"/>
            </w:pPr>
            <w:r>
              <w:rPr>
                <w:b w:val="false"/>
                <w:sz w:val="18"/>
                <w:szCs w:val="18"/>
                <w:rtl/>
              </w:rPr>
              <w:t xml:space="preserve">يُراجع في نظام المحاكم التجارية. ولا تورد هذه الصفحة رقم المادة ولا ميعاد الفصل.</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الدعوى الكيدية</w:t>
            </w:r>
          </w:p>
        </w:tc>
        <w:tc>
          <w:tcPr>
            <w:tcMar>
              <w:top w:type="dxa" w:w="80"/>
              <w:left w:type="dxa" w:w="100"/>
              <w:bottom w:type="dxa" w:w="80"/>
              <w:right w:type="dxa" w:w="100"/>
            </w:tcMar>
          </w:tcPr>
          <w:p>
            <w:pPr>
              <w:bidi/>
              <w:spacing w:after="0"/>
            </w:pPr>
            <w:r>
              <w:rPr>
                <w:b w:val="false"/>
                <w:sz w:val="18"/>
                <w:szCs w:val="18"/>
                <w:rtl/>
              </w:rPr>
              <w:t xml:space="preserve">الدعوى الصورية أو الكيدية تُرفض، ويجوز التعزير (المادة الثالثة).</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الإثبات</w:t>
            </w:r>
          </w:p>
        </w:tc>
        <w:tc>
          <w:tcPr>
            <w:tcMar>
              <w:top w:type="dxa" w:w="80"/>
              <w:left w:type="dxa" w:w="100"/>
              <w:bottom w:type="dxa" w:w="80"/>
              <w:right w:type="dxa" w:w="100"/>
            </w:tcMar>
          </w:tcPr>
          <w:p>
            <w:pPr>
              <w:bidi/>
              <w:spacing w:after="0"/>
            </w:pPr>
            <w:r>
              <w:rPr>
                <w:b w:val="false"/>
                <w:sz w:val="18"/>
                <w:szCs w:val="18"/>
                <w:rtl/>
              </w:rPr>
              <w:t xml:space="preserve">على المدعي إثبات ما يدعيه وللمدعى عليه نفيه (المادة الثانية من نظام الإثبات).</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اليمين</w:t>
            </w:r>
          </w:p>
        </w:tc>
        <w:tc>
          <w:tcPr>
            <w:tcMar>
              <w:top w:type="dxa" w:w="80"/>
              <w:left w:type="dxa" w:w="100"/>
              <w:bottom w:type="dxa" w:w="80"/>
              <w:right w:type="dxa" w:w="100"/>
            </w:tcMar>
          </w:tcPr>
          <w:p>
            <w:pPr>
              <w:bidi/>
              <w:spacing w:after="0"/>
            </w:pPr>
            <w:r>
              <w:rPr>
                <w:b w:val="false"/>
                <w:sz w:val="18"/>
                <w:szCs w:val="18"/>
                <w:rtl/>
              </w:rPr>
              <w:t xml:space="preserve">اليمين الحاسمة يؤديها المدعى عليه لدفع الدعوى، ويجوز ردها (المادة الثانية والتسعون).</w:t>
            </w:r>
            <w:r>
              <w:rPr>
                <w:b w:val="false"/>
                <w:sz w:val="18"/>
                <w:szCs w:val="18"/>
                <w:rtl/>
              </w:rPr>
              <w:t xml:space="preserve"> [3]</w:t>
            </w:r>
          </w:p>
        </w:tc>
      </w:tr>
    </w:tbl>
    <w:p>
      <w:pPr>
        <w:bidi/>
      </w:pPr>
    </w:p>
    <w:p>
      <w:pPr>
        <w:pStyle w:val="Heading1"/>
        <w:pageBreakBefore/>
        <w:bidi/>
      </w:pPr>
      <w:r>
        <w:rPr>
          <w:rtl/>
        </w:rPr>
        <w:t xml:space="preserve">ملاحظات عن الإمارات العربية المتحدة</w:t>
      </w:r>
    </w:p>
    <w:p>
      <w:pPr>
        <w:bidi/>
      </w:pPr>
      <w:r>
        <w:rPr>
          <w:rtl/>
        </w:rPr>
        <w:t xml:space="preserve">من غير رقم مادة. والاستعمال الشائع مذكرة جوابية أو مذكرة رد.</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القانون</w:t>
            </w:r>
          </w:p>
        </w:tc>
        <w:tc>
          <w:tcPr>
            <w:tcMar>
              <w:top w:type="dxa" w:w="80"/>
              <w:left w:type="dxa" w:w="100"/>
              <w:bottom w:type="dxa" w:w="80"/>
              <w:right w:type="dxa" w:w="100"/>
            </w:tcMar>
          </w:tcPr>
          <w:p>
            <w:pPr>
              <w:bidi/>
              <w:spacing w:after="0"/>
            </w:pPr>
            <w:r>
              <w:rPr>
                <w:b w:val="false"/>
                <w:sz w:val="18"/>
                <w:szCs w:val="18"/>
                <w:rtl/>
              </w:rPr>
              <w:t xml:space="preserve">مرسوم بقانون اتحادي رقم (42) لسنة 2022 ينظّم تبادل المذكرات والدفوع. ولا يُذكر رقم مادة.</w:t>
            </w:r>
          </w:p>
        </w:tc>
      </w:tr>
      <w:tr>
        <w:trPr>
          <w:cantSplit/>
        </w:trPr>
        <w:tc>
          <w:tcPr>
            <w:tcMar>
              <w:top w:type="dxa" w:w="80"/>
              <w:left w:type="dxa" w:w="100"/>
              <w:bottom w:type="dxa" w:w="80"/>
              <w:right w:type="dxa" w:w="100"/>
            </w:tcMar>
          </w:tcPr>
          <w:p>
            <w:pPr>
              <w:bidi/>
              <w:spacing w:after="0"/>
            </w:pPr>
            <w:r>
              <w:rPr>
                <w:b w:val="false"/>
                <w:sz w:val="18"/>
                <w:szCs w:val="18"/>
                <w:rtl/>
              </w:rPr>
              <w:t xml:space="preserve">الاسم</w:t>
            </w:r>
          </w:p>
        </w:tc>
        <w:tc>
          <w:tcPr>
            <w:tcMar>
              <w:top w:type="dxa" w:w="80"/>
              <w:left w:type="dxa" w:w="100"/>
              <w:bottom w:type="dxa" w:w="80"/>
              <w:right w:type="dxa" w:w="100"/>
            </w:tcMar>
          </w:tcPr>
          <w:p>
            <w:pPr>
              <w:bidi/>
              <w:spacing w:after="0"/>
            </w:pPr>
            <w:r>
              <w:rPr>
                <w:b w:val="false"/>
                <w:sz w:val="18"/>
                <w:szCs w:val="18"/>
                <w:rtl/>
              </w:rPr>
              <w:t xml:space="preserve">«مذكرة جوابية» أو «مذكرة رد» هو الاستعمال الشائع، إلى جانب «مذكرة دفاع».</w:t>
            </w:r>
          </w:p>
        </w:tc>
      </w:tr>
      <w:tr>
        <w:trPr>
          <w:cantSplit/>
        </w:trPr>
        <w:tc>
          <w:tcPr>
            <w:tcMar>
              <w:top w:type="dxa" w:w="80"/>
              <w:left w:type="dxa" w:w="100"/>
              <w:bottom w:type="dxa" w:w="80"/>
              <w:right w:type="dxa" w:w="100"/>
            </w:tcMar>
          </w:tcPr>
          <w:p>
            <w:pPr>
              <w:bidi/>
              <w:spacing w:after="0"/>
            </w:pPr>
            <w:r>
              <w:rPr>
                <w:b w:val="false"/>
                <w:sz w:val="18"/>
                <w:szCs w:val="18"/>
                <w:rtl/>
              </w:rPr>
              <w:t xml:space="preserve">الميعاد</w:t>
            </w:r>
          </w:p>
        </w:tc>
        <w:tc>
          <w:tcPr>
            <w:tcMar>
              <w:top w:type="dxa" w:w="80"/>
              <w:left w:type="dxa" w:w="100"/>
              <w:bottom w:type="dxa" w:w="80"/>
              <w:right w:type="dxa" w:w="100"/>
            </w:tcMar>
          </w:tcPr>
          <w:p>
            <w:pPr>
              <w:bidi/>
              <w:spacing w:after="0"/>
            </w:pPr>
            <w:r>
              <w:rPr>
                <w:b w:val="false"/>
                <w:sz w:val="18"/>
                <w:szCs w:val="18"/>
                <w:rtl/>
              </w:rPr>
              <w:t xml:space="preserve">ميعاد الإيداع يُؤخذ من لائحة المحكمة أو من أمر الدائرة، لا من هذه الصفحة.</w:t>
            </w:r>
          </w:p>
        </w:tc>
      </w:tr>
    </w:tbl>
    <w:p>
      <w:pPr>
        <w:bidi/>
      </w:pPr>
    </w:p>
    <w:p>
      <w:pPr>
        <w:pStyle w:val="Heading1"/>
        <w:bidi/>
      </w:pPr>
      <w:r>
        <w:rPr>
          <w:rtl/>
        </w:rPr>
        <w:t xml:space="preserve">البحرين وقطر والكويت وعُمان</w:t>
      </w:r>
    </w:p>
    <w:p>
      <w:pPr>
        <w:pStyle w:val="ListParagraph"/>
        <w:numPr>
          <w:ilvl w:val="0"/>
          <w:numId w:val="2"/>
        </w:numPr>
        <w:bidi/>
      </w:pPr>
      <w:r>
        <w:rPr>
          <w:rtl/>
        </w:rPr>
        <w:t xml:space="preserve">البحرين: لم يُراجع قانون المرافعات المدنية والتجارية. ميعاد المذكرة عند محامٍ بحريني.</w:t>
      </w:r>
    </w:p>
    <w:p>
      <w:pPr>
        <w:pStyle w:val="ListParagraph"/>
        <w:numPr>
          <w:ilvl w:val="0"/>
          <w:numId w:val="2"/>
        </w:numPr>
        <w:bidi/>
      </w:pPr>
      <w:r>
        <w:rPr>
          <w:rtl/>
        </w:rPr>
        <w:t xml:space="preserve">قطر: لم يُراجع قانون المرافعات المدنية والتجارية.</w:t>
      </w:r>
    </w:p>
    <w:p>
      <w:pPr>
        <w:pStyle w:val="ListParagraph"/>
        <w:numPr>
          <w:ilvl w:val="0"/>
          <w:numId w:val="2"/>
        </w:numPr>
        <w:bidi/>
      </w:pPr>
      <w:r>
        <w:rPr>
          <w:rtl/>
        </w:rPr>
        <w:t xml:space="preserve">الكويت: لم يُراجع قانون المرافعات المدنية والتجارية.</w:t>
      </w:r>
    </w:p>
    <w:p>
      <w:pPr>
        <w:pStyle w:val="ListParagraph"/>
        <w:numPr>
          <w:ilvl w:val="0"/>
          <w:numId w:val="2"/>
        </w:numPr>
        <w:bidi/>
      </w:pPr>
      <w:r>
        <w:rPr>
          <w:rtl/>
        </w:rPr>
        <w:t xml:space="preserve">عُمان: لم يُراجع قانون الإجراءات المدنية والتجارية.</w:t>
      </w:r>
    </w:p>
    <w:p>
      <w:pPr>
        <w:pStyle w:val="Heading1"/>
        <w:pageBreakBefore/>
        <w:bidi/>
      </w:pPr>
      <w:r>
        <w:rPr>
          <w:rtl/>
        </w:rPr>
        <w:t xml:space="preserve">الملحق (1): المرفقات</w:t>
      </w:r>
    </w:p>
    <w:p>
      <w:pPr>
        <w:bidi/>
      </w:pPr>
      <w:r>
        <w:rPr>
          <w:rtl/>
        </w:rPr>
        <w:t xml:space="preserve">صفوا كل مستند. والإنذار أو المخالصة يُرفق إن كان الدفع مبنياً عليه.</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الرقم</w:t>
            </w:r>
          </w:p>
        </w:tc>
        <w:tc>
          <w:tcPr>
            <w:shd w:fill="EDEDED" w:color="auto" w:val="clear"/>
            <w:tcMar>
              <w:top w:type="dxa" w:w="80"/>
              <w:left w:type="dxa" w:w="100"/>
              <w:bottom w:type="dxa" w:w="80"/>
              <w:right w:type="dxa" w:w="100"/>
            </w:tcMar>
          </w:tcPr>
          <w:p>
            <w:pPr>
              <w:bidi/>
              <w:spacing w:after="0"/>
            </w:pPr>
            <w:r>
              <w:rPr>
                <w:b/>
                <w:bCs/>
                <w:sz w:val="18"/>
                <w:szCs w:val="18"/>
                <w:rtl/>
              </w:rPr>
              <w:t xml:space="preserve">الوصف</w:t>
            </w:r>
          </w:p>
        </w:tc>
        <w:tc>
          <w:tcPr>
            <w:shd w:fill="EDEDED" w:color="auto" w:val="clear"/>
            <w:tcMar>
              <w:top w:type="dxa" w:w="80"/>
              <w:left w:type="dxa" w:w="100"/>
              <w:bottom w:type="dxa" w:w="80"/>
              <w:right w:type="dxa" w:w="100"/>
            </w:tcMar>
          </w:tcPr>
          <w:p>
            <w:pPr>
              <w:bidi/>
              <w:spacing w:after="0"/>
            </w:pPr>
            <w:r>
              <w:rPr>
                <w:b/>
                <w:bCs/>
                <w:sz w:val="18"/>
                <w:szCs w:val="18"/>
                <w:rtl/>
              </w:rPr>
              <w:t xml:space="preserve">النوع</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وصف المستند</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عقد / إنذار / مخالصة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2lxmvjjybwjs7_obwbw3q">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‪https://www.qanu.ai/ar/نماذج/نموذج-مذكرة-دفاع‬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المحاكم التجارية </w:t>
      </w:r>
      <w:hyperlink w:history="1" r:id="rIdqc3i0ofzzd2xxhziwvrhe">
        <w:r>
          <w:rPr>
            <w:rStyle w:val="Hyperlink"/>
            <w:sz w:val="16"/>
            <w:szCs w:val="16"/>
          </w:rPr>
          <w:t xml:space="preserve">https://laws.boe.gov.sa/BoeLaws/Laws/LawDetails/38334008-3b70-4c6c-b3af-aba3016a8061/1</w:t>
        </w:r>
      </w:hyperlink>
    </w:p>
    <w:p>
      <w:pPr>
        <w:bidi/>
        <w:ind w:start="360" w:hanging="360"/>
      </w:pPr>
      <w:r>
        <w:rPr>
          <w:sz w:val="18"/>
          <w:szCs w:val="18"/>
          <w:rtl/>
        </w:rPr>
        <w:t xml:space="preserve">[2] هيئة الخبراء بمجلس الوزراء، نظام المرافعات الشرعية </w:t>
      </w:r>
      <w:hyperlink w:history="1" r:id="rIdcw6bgu6qzp8ua4oj4kmor">
        <w:r>
          <w:rPr>
            <w:rStyle w:val="Hyperlink"/>
            <w:sz w:val="16"/>
            <w:szCs w:val="16"/>
          </w:rPr>
          <w:t xml:space="preserve">https://laws.boe.gov.sa/BoeLaws/Laws/LawDetails/f0eaae46-9f84-40ee-815e-a9a700f268b3/1</w:t>
        </w:r>
      </w:hyperlink>
    </w:p>
    <w:p>
      <w:pPr>
        <w:bidi/>
        <w:ind w:start="360" w:hanging="360"/>
      </w:pPr>
      <w:r>
        <w:rPr>
          <w:sz w:val="18"/>
          <w:szCs w:val="18"/>
          <w:rtl/>
        </w:rPr>
        <w:t xml:space="preserve">[3] هيئة الخبراء بمجلس الوزراء، نظام الإثبات </w:t>
      </w:r>
      <w:hyperlink w:history="1" r:id="rIdhfr7ixhkpfpja9mtvqcsn">
        <w:r>
          <w:rPr>
            <w:rStyle w:val="Hyperlink"/>
            <w:sz w:val="16"/>
            <w:szCs w:val="16"/>
          </w:rPr>
          <w:t xml:space="preserve">https://laws.boe.gov.sa/BoeLaws/Laws/LawDetails/2716057c-c097-4bad-8e1e-ae1400c678d5/1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احذفوا «جزائية». وهذه المذكرة لا تُعدّ لدعوى جنائية.</w:t>
      </w:r>
    </w:p>
  </w:comment>
  <w:comment w:id="1" w:initials="Q" w:author="Qanu" w:date="2026-10-22T00:00:00.000Z">
    <w:p>
      <w:pPr>
        <w:bidi/>
      </w:pPr>
      <w:r>
        <w:rPr>
          <w:b/>
          <w:bCs/>
          <w:rtl/>
        </w:rPr>
        <w:t xml:space="preserve">ملاحظة صياغة</w:t>
      </w:r>
    </w:p>
    <w:p>
      <w:pPr>
        <w:bidi/>
      </w:pPr>
      <w:r>
        <w:rPr>
          <w:rtl/>
        </w:rPr>
        <w:t xml:space="preserve">إذا حضر وكيل فأرفقوا وكالة سارية تشمل المرافعة، وأعدّوا نصها من </w:t>
      </w:r>
      <w:hyperlink w:history="1" r:id="rIdbz_ynvtluxhb4y-g_jbzg">
        <w:r>
          <w:rPr>
            <w:rStyle w:val="Hyperlink"/>
            <w:rtl/>
          </w:rPr>
          <w:t xml:space="preserve">نموذج الوكالة</w:t>
        </w:r>
      </w:hyperlink>
      <w:r>
        <w:rPr>
          <w:rtl/>
        </w:rPr>
        <w:t xml:space="preserve">.</w:t>
      </w:r>
    </w:p>
  </w:comment>
  <w:comment w:id="2" w:initials="Q" w:author="Qanu" w:date="2026-10-22T00:00:00.000Z">
    <w:p>
      <w:pPr>
        <w:bidi/>
      </w:pPr>
      <w:r>
        <w:rPr>
          <w:b/>
          <w:bCs/>
          <w:rtl/>
        </w:rPr>
        <w:t xml:space="preserve">ملاحظة صياغة</w:t>
      </w:r>
    </w:p>
    <w:p>
      <w:pPr>
        <w:bidi/>
      </w:pPr>
      <w:r>
        <w:rPr>
          <w:rtl/>
        </w:rPr>
        <w:t xml:space="preserve">هذه الدفوع قبل أي طلب أو دفاع، وإلا سقطت.</w:t>
      </w:r>
      <w:r>
        <w:rPr>
          <w:rtl/>
        </w:rPr>
        <w:t xml:space="preserve"> [2]</w:t>
      </w:r>
      <w:r>
        <w:rPr>
          <w:rtl/>
        </w:rPr>
        <w:t xml:space="preserve"> والدفع بعدم الاختصاص النوعي أمام المحكمة التجارية يُراجع في نظام المحاكم التجارية. ولا تورد هذه الصفحة رقم المادة ولا ميعاد الفصل فيه.</w:t>
      </w:r>
      <w:r>
        <w:rPr>
          <w:rtl/>
        </w:rPr>
        <w:t xml:space="preserve"> [1]</w:t>
      </w:r>
    </w:p>
  </w:comment>
  <w:comment w:id="3" w:initials="Q" w:author="Qanu" w:date="2026-10-22T00:00:00.000Z">
    <w:p>
      <w:pPr>
        <w:bidi/>
      </w:pPr>
      <w:r>
        <w:rPr>
          <w:b/>
          <w:bCs/>
          <w:rtl/>
        </w:rPr>
        <w:t xml:space="preserve">ملاحظة صياغة</w:t>
      </w:r>
    </w:p>
    <w:p>
      <w:pPr>
        <w:bidi/>
      </w:pPr>
      <w:r>
        <w:rPr>
          <w:rtl/>
        </w:rPr>
        <w:t xml:space="preserve">في السعودية يُقال «لا تُسمع الدعوى» لا «سقطت بالتقادم» حيث ينص النظام على عدم السماع. وانظروا </w:t>
      </w:r>
      <w:hyperlink w:history="1" r:id="rIdzofr0yrfonps0df984vt3">
        <w:r>
          <w:rPr>
            <w:rStyle w:val="Hyperlink"/>
            <w:rtl/>
          </w:rPr>
          <w:t xml:space="preserve">التقادم</w:t>
        </w:r>
      </w:hyperlink>
      <w:r>
        <w:rPr>
          <w:rtl/>
        </w:rPr>
        <w:t xml:space="preserve">. والإخطار السابق قد يكون </w:t>
      </w:r>
      <w:hyperlink w:history="1" r:id="rIdgpaa52tnkpkg8der6kya1">
        <w:r>
          <w:rPr>
            <w:rStyle w:val="Hyperlink"/>
            <w:rtl/>
          </w:rPr>
          <w:t xml:space="preserve">الإنذار العدلي</w:t>
        </w:r>
      </w:hyperlink>
      <w:r>
        <w:rPr>
          <w:rtl/>
        </w:rPr>
        <w:t xml:space="preserve"> أو الإعذار.</w:t>
      </w:r>
    </w:p>
  </w:comment>
  <w:comment w:id="4" w:initials="Q" w:author="Qanu" w:date="2026-10-22T00:00:00.000Z">
    <w:p>
      <w:pPr>
        <w:bidi/>
      </w:pPr>
      <w:r>
        <w:rPr>
          <w:b/>
          <w:bCs/>
          <w:rtl/>
        </w:rPr>
        <w:t xml:space="preserve">ملاحظة صياغة</w:t>
      </w:r>
    </w:p>
    <w:p>
      <w:pPr>
        <w:bidi/>
      </w:pPr>
      <w:r>
        <w:rPr>
          <w:rtl/>
        </w:rPr>
        <w:t xml:space="preserve">بند مقابل كل بند في الصحيفة. ولا تُجمع الوقائع في فقرة واحدة.</w:t>
      </w:r>
    </w:p>
  </w:comment>
  <w:comment w:id="5" w:initials="Q" w:author="Qanu" w:date="2026-10-22T00:00:00.000Z">
    <w:p>
      <w:pPr>
        <w:bidi/>
      </w:pPr>
      <w:r>
        <w:rPr>
          <w:b/>
          <w:bCs/>
          <w:rtl/>
        </w:rPr>
        <w:t xml:space="preserve">ملاحظة صياغة</w:t>
      </w:r>
    </w:p>
    <w:p>
      <w:pPr>
        <w:bidi/>
      </w:pPr>
      <w:r>
        <w:rPr>
          <w:rtl/>
        </w:rPr>
        <w:t xml:space="preserve">عبء الإثبات على المدعي، والنفي على المدعى عليه.</w:t>
      </w:r>
      <w:r>
        <w:rPr>
          <w:rtl/>
        </w:rPr>
        <w:t xml:space="preserve"> [3]</w:t>
      </w:r>
      <w:r>
        <w:rPr>
          <w:rtl/>
        </w:rPr>
        <w:t xml:space="preserve"> واليمين الحاسمة يؤديها المدعى عليه لدفع الدعوى، ويجوز ردها.</w:t>
      </w:r>
      <w:r>
        <w:rPr>
          <w:rtl/>
        </w:rPr>
        <w:t xml:space="preserve"> [3]</w:t>
      </w:r>
    </w:p>
  </w:comment>
  <w:comment w:id="6" w:initials="Q" w:author="Qanu" w:date="2026-10-22T00:00:00.000Z">
    <w:p>
      <w:pPr>
        <w:bidi/>
      </w:pPr>
      <w:r>
        <w:rPr>
          <w:b/>
          <w:bCs/>
          <w:rtl/>
        </w:rPr>
        <w:t xml:space="preserve">ملاحظة صياغة</w:t>
      </w:r>
    </w:p>
    <w:p>
      <w:pPr>
        <w:bidi/>
      </w:pPr>
      <w:r>
        <w:rPr>
          <w:rtl/>
        </w:rPr>
        <w:t xml:space="preserve">لا تُضاف دعوى متقابلة لتأخير الجلسة. اكتبوا سندها أو احذفوا الفقرة.</w:t>
      </w:r>
    </w:p>
  </w:comment>
  <w:comment w:id="7" w:initials="Q" w:author="Qanu" w:date="2026-10-22T00:00:00.000Z">
    <w:p>
      <w:pPr>
        <w:bidi/>
      </w:pPr>
      <w:r>
        <w:rPr>
          <w:b/>
          <w:bCs/>
          <w:rtl/>
        </w:rPr>
        <w:t xml:space="preserve">ملاحظة صياغة</w:t>
      </w:r>
    </w:p>
    <w:p>
      <w:pPr>
        <w:bidi/>
      </w:pPr>
      <w:r>
        <w:rPr>
          <w:rtl/>
        </w:rPr>
        <w:t xml:space="preserve">الدعوى الصورية أو الكيدية تُرفض، ويجوز التعزير.</w:t>
      </w:r>
      <w:r>
        <w:rPr>
          <w:rtl/>
        </w:rPr>
        <w:t xml:space="preserve"> [2]</w:t>
      </w:r>
      <w:r>
        <w:rPr>
          <w:rtl/>
        </w:rPr>
        <w:t xml:space="preserve"> ولا يُطلب التعزير عبارةً جاهزة. اذكروا وجه الكيد أو احذفوا الطلب. وانظروا </w:t>
      </w:r>
      <w:hyperlink w:history="1" r:id="rId7z_x-4am7xnvs19jpqkvp">
        <w:r>
          <w:rPr>
            <w:rStyle w:val="Hyperlink"/>
            <w:rtl/>
          </w:rPr>
          <w:t xml:space="preserve">الاستئناف</w:t>
        </w:r>
      </w:hyperlink>
      <w:r>
        <w:rPr>
          <w:rtl/>
        </w:rPr>
        <w:t xml:space="preserve"> و</w:t>
      </w:r>
      <w:hyperlink w:history="1" r:id="rIds08myn5zgkgpkakmtcesw">
        <w:r>
          <w:rPr>
            <w:rStyle w:val="Hyperlink"/>
            <w:rtl/>
          </w:rPr>
          <w:t xml:space="preserve">التمييز</w:t>
        </w:r>
      </w:hyperlink>
      <w:r>
        <w:rPr>
          <w:rtl/>
        </w:rPr>
        <w:t xml:space="preserve"> إن كانت المذكرة على حكم لا على صحيفة.</w:t>
      </w:r>
    </w:p>
  </w:comment>
  <w:comment w:id="8" w:initials="Q" w:author="Qanu" w:date="2026-10-22T00:00:00.000Z">
    <w:p>
      <w:pPr>
        <w:bidi/>
      </w:pPr>
      <w:r>
        <w:rPr>
          <w:b/>
          <w:bCs/>
          <w:rtl/>
        </w:rPr>
        <w:t xml:space="preserve">ملاحظة صياغة</w:t>
      </w:r>
    </w:p>
    <w:p>
      <w:pPr>
        <w:bidi/>
      </w:pPr>
      <w:r>
        <w:rPr>
          <w:rtl/>
        </w:rPr>
        <w:t xml:space="preserve">تجارية في السعودية: قبل الجلسة بيوم واحد على الأقل، عدا المستعجل.</w:t>
      </w:r>
      <w:r>
        <w:rPr>
          <w:rtl/>
        </w:rPr>
        <w:t xml:space="preserve"> [1]</w:t>
      </w:r>
      <w:r>
        <w:rPr>
          <w:rtl/>
        </w:rPr>
        <w:t xml:space="preserve"> المحكمة العامة: ثلاثة أيام. المحاكم الأخرى: يوم.</w:t>
      </w:r>
      <w:r>
        <w:rPr>
          <w:rtl/>
        </w:rPr>
        <w:t xml:space="preserve"> [2]</w:t>
      </w:r>
      <w:r>
        <w:rPr>
          <w:rtl/>
        </w:rPr>
        <w:t xml:space="preserve"> وميعاد الإيداع في الإمارات والبحرين وقطر والكويت وعُمان لم يُراجع برقم مادة.</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7AB0CFB3-BC13-8128-9D8E-53C82404F708}"/>
    <w:embedBold r:id="rId2" w:fontKey="{0B840BDC-BFBF-896E-8016-184088E79E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‪https://www.qanu.ai/ar/نماذج/نموذج-مذكرة-دفاع‬</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‪https://www.qanu.ai/ar/نماذج/نموذج-مذكرة-دفاع‬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bz_ynvtluxhb4y-g_jbzg" Type="http://schemas.openxmlformats.org/officeDocument/2006/relationships/hyperlink" Target="https://www.qanu.ai/ar/%D9%86%D9%85%D8%A7%D8%B0%D8%AC/%D9%86%D9%85%D9%88%D8%B0%D8%AC-%D9%88%D9%83%D8%A7%D9%84%D8%A9" TargetMode="External"/><Relationship Id="rIdzofr0yrfonps0df984vt3" Type="http://schemas.openxmlformats.org/officeDocument/2006/relationships/hyperlink" Target="https://www.qanu.ai/ar/%D9%85%D8%B3%D8%B1%D8%AF-%D9%82%D8%A7%D9%86%D9%88%D9%86%D9%8A/%D8%AA%D9%82%D8%A7%D8%AF%D9%85" TargetMode="External"/><Relationship Id="rIdgpaa52tnkpkg8der6kya1" Type="http://schemas.openxmlformats.org/officeDocument/2006/relationships/hyperlink" Target="https://www.qanu.ai/ar/%D9%86%D9%85%D8%A7%D8%B0%D8%AC/%D9%86%D9%85%D9%88%D8%B0%D8%AC-%D8%A5%D9%86%D8%B0%D8%A7%D8%B1-%D8%B9%D8%AF%D9%84%D9%8A" TargetMode="External"/><Relationship Id="rId7z_x-4am7xnvs19jpqkvp" Type="http://schemas.openxmlformats.org/officeDocument/2006/relationships/hyperlink" Target="https://www.qanu.ai/ar/%D9%85%D8%B3%D8%B1%D8%AF-%D9%82%D8%A7%D9%86%D9%88%D9%86%D9%8A/%D8%A7%D8%B3%D8%AA%D8%A6%D9%86%D8%A7%D9%81" TargetMode="External"/><Relationship Id="rIds08myn5zgkgpkakmtcesw" Type="http://schemas.openxmlformats.org/officeDocument/2006/relationships/hyperlink" Target="https://www.qanu.ai/ar/%D9%85%D8%B3%D8%B1%D8%AF-%D9%82%D8%A7%D9%86%D9%88%D9%86%D9%8A/%D8%AA%D9%85%D9%8A%D9%8A%D8%B2-%D9%86%D9%82%D8%B6"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vhaaskfz9ksdhoeo_emqf" Type="http://schemas.openxmlformats.org/officeDocument/2006/relationships/hyperlink" Target="https://laws.boe.gov.sa/BoeLaws/Laws/LawDetails/38334008-3b70-4c6c-b3af-aba3016a8061/1" TargetMode="External"/><Relationship Id="rId8-jahevmqvdwaquazbf_g" Type="http://schemas.openxmlformats.org/officeDocument/2006/relationships/hyperlink" Target="https://laws.boe.gov.sa/BoeLaws/Laws/LawDetails/f0eaae46-9f84-40ee-815e-a9a700f268b3/1" TargetMode="External"/><Relationship Id="rId0cjooxr6_koqolyb3bwna" Type="http://schemas.openxmlformats.org/officeDocument/2006/relationships/hyperlink" Target="https://laws.boe.gov.sa/BoeLaws/Laws/LawDetails/2716057c-c097-4bad-8e1e-ae1400c678d5/1" TargetMode="External"/><Relationship Id="rIdafsaqpgn1uh_3-5yaijf1" Type="http://schemas.openxmlformats.org/officeDocument/2006/relationships/hyperlink" Target="https://www.qanu.ai/ar/%D9%86%D9%85%D8%A7%D8%B0%D8%AC/%D9%86%D9%85%D9%88%D8%B0%D8%AC-%D8%B5%D8%AD%D9%8A%D9%81%D8%A9-%D8%AF%D8%B9%D9%88%D9%89" TargetMode="External"/><Relationship Id="rId2lxmvjjybwjs7_obwbw3q" Type="http://schemas.openxmlformats.org/officeDocument/2006/relationships/hyperlink" Target="https://creativecommons.org/licenses/by/4.0/deed.ar" TargetMode="External"/><Relationship Id="rIdqc3i0ofzzd2xxhziwvrhe" Type="http://schemas.openxmlformats.org/officeDocument/2006/relationships/hyperlink" Target="https://laws.boe.gov.sa/BoeLaws/Laws/LawDetails/38334008-3b70-4c6c-b3af-aba3016a8061/1" TargetMode="External"/><Relationship Id="rIdcw6bgu6qzp8ua4oj4kmor" Type="http://schemas.openxmlformats.org/officeDocument/2006/relationships/hyperlink" Target="https://laws.boe.gov.sa/BoeLaws/Laws/LawDetails/f0eaae46-9f84-40ee-815e-a9a700f268b3/1" TargetMode="External"/><Relationship Id="rIdhfr7ixhkpfpja9mtvqcsn" Type="http://schemas.openxmlformats.org/officeDocument/2006/relationships/hyperlink" Target="https://laws.boe.gov.sa/BoeLaws/Laws/LawDetails/2716057c-c097-4bad-8e1e-ae1400c678d5/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مذكرة دفاع</dc:title>
  <dc:creator>Qanu</dc:creator>
  <cp:keywords>مذكرة دفاع, مذكرة جوابية, دفوع,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2026-10-21T21:23:25.256Z</dcterms:created>
  <dcterms:modified xsi:type="dcterms:W3CDTF">2026-10-21T21:23:25.256Z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https://www.qanu.ai/ar/نماذج/نموذج-مذكرة-دفاع</vt:lpwstr>
  </property>
</Properties>
</file>