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11111" w:sz="12" w:space="6"/>
          <w:left w:val="single" w:color="111111" w:sz="12" w:space="6"/>
          <w:bottom w:val="single" w:color="111111" w:sz="12" w:space="6"/>
          <w:right w:val="single" w:color="111111" w:sz="12" w:space="6"/>
        </w:pBdr>
        <w:shd w:fill="FFF4D6" w:color="auto" w:val="clear"/>
        <w:bidi w:val="false"/>
      </w:pPr>
      <w:r>
        <w:rPr>
          <w:b/>
          <w:bCs/>
          <w:rtl w:val="false"/>
        </w:rPr>
        <w:t xml:space="preserve">In Saudi Arabia the memorandum is filed before the hearing, and procedural pleas before any defence on the merits.</w:t>
      </w:r>
      <w:r>
        <w:rPr>
          <w:rtl w:val="false"/>
        </w:rPr>
        <w:t xml:space="preserve"> Before the commercial court the defendant, other than in urgent applications, files a memorandum of defence setting out the answer, all pleas, requests and grounds at least one day before the hearing.</w:t>
      </w:r>
      <w:r>
        <w:rPr>
          <w:rtl w:val="false"/>
        </w:rPr>
        <w:t xml:space="preserve"> [1]</w:t>
      </w:r>
      <w:r>
        <w:rPr>
          <w:rtl w:val="false"/>
        </w:rPr>
        <w:t xml:space="preserve"> Before the general court the filing is three days before the hearing, and before the other courts one day.</w:t>
      </w:r>
      <w:r>
        <w:rPr>
          <w:rtl w:val="false"/>
        </w:rPr>
        <w:t xml:space="preserve"> [2]</w:t>
      </w:r>
      <w:r>
        <w:rPr>
          <w:rtl w:val="false"/>
        </w:rPr>
        <w:t xml:space="preserve"> A plea that the statement of claim is invalid, that the court lacks territorial jurisdiction, or that the case should be transferred, is raised before any request or defence, or it is waived.</w:t>
      </w:r>
      <w:r>
        <w:rPr>
          <w:rtl w:val="false"/>
        </w:rPr>
        <w:t xml:space="preserve"> [2]</w:t>
      </w:r>
      <w:r>
        <w:rPr>
          <w:rtl w:val="false"/>
        </w:rPr>
        <w:t xml:space="preserve"> In the UAE, Federal Decree-Law No. 42 of 2022 regulates the exchange of memoranda and pleas. The usual names are a reply memorandum or a response. This page states no article number of that decree-law.</w:t>
      </w:r>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Commercial Courts Law: </w:t>
      </w:r>
      <w:hyperlink w:history="1" r:id="rIdc67_ofuvfxjmeisrwf-a4">
        <w:r>
          <w:rPr>
            <w:rStyle w:val="Hyperlink"/>
            <w:sz w:val="17"/>
            <w:szCs w:val="17"/>
          </w:rPr>
          <w:t xml:space="preserve">https://laws.boe.gov.sa/BoeLaws/Laws/LawDetails/38334008-3b70-4c6c-b3af-aba3016a8061/1</w:t>
        </w:r>
      </w:hyperlink>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Law of Procedure before Sharia Courts: </w:t>
      </w:r>
      <w:hyperlink w:history="1" r:id="rId041zaf0mqnok2p7l7umcw">
        <w:r>
          <w:rPr>
            <w:rStyle w:val="Hyperlink"/>
            <w:sz w:val="17"/>
            <w:szCs w:val="17"/>
          </w:rPr>
          <w:t xml:space="preserve">https://laws.boe.gov.sa/BoeLaws/Laws/LawDetails/f0eaae46-9f84-40ee-815e-a9a700f268b3/1</w:t>
        </w:r>
      </w:hyperlink>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Law of Evidence: </w:t>
      </w:r>
      <w:hyperlink w:history="1" r:id="rId6ieexboufhgnj512sf41e">
        <w:r>
          <w:rPr>
            <w:rStyle w:val="Hyperlink"/>
            <w:sz w:val="17"/>
            <w:szCs w:val="17"/>
          </w:rPr>
          <w:t xml:space="preserve">https://laws.boe.gov.sa/BoeLaws/Laws/LawDetails/2716057c-c097-4bad-8e1e-ae1400c678d5/1</w:t>
        </w:r>
      </w:hyperlink>
    </w:p>
    <w:p>
      <w:pPr>
        <w:bidi w:val="false"/>
        <w:spacing w:after="240"/>
      </w:pPr>
    </w:p>
    <w:p>
      <w:pPr>
        <w:pStyle w:val="Title"/>
        <w:bidi w:val="false"/>
      </w:pPr>
      <w:r>
        <w:rPr>
          <w:rtl w:val="false"/>
        </w:rPr>
        <w:t xml:space="preserve">Statement of defence</w:t>
      </w:r>
    </w:p>
    <w:p>
      <w:pPr>
        <w:bidi w:val="false"/>
        <w:spacing w:after="240"/>
      </w:pPr>
      <w:r>
        <w:rPr>
          <w:color w:val="444444"/>
          <w:rtl w:val="false"/>
        </w:rPr>
        <w:t xml:space="preserve">A reply memorandum in a commercial, civil or labour case in the GCC. It is not a memorandum in a criminal case, and it is not an appeal. Replace every </w:t>
      </w:r>
      <w:r>
        <w:rPr>
          <w:color w:val="444444"/>
          <w:highlight w:val="yellow"/>
          <w:rtl w:val="false"/>
        </w:rPr>
        <w:t xml:space="preserve">[</w:t>
      </w:r>
      <w:r>
        <w:rPr>
          <w:color w:val="444444"/>
          <w:highlight w:val="yellow"/>
          <w:rtl w:val="false"/>
        </w:rPr>
        <w:t xml:space="preserve">bracket</w:t>
      </w:r>
      <w:r>
        <w:rPr>
          <w:color w:val="444444"/>
          <w:highlight w:val="yellow"/>
          <w:rtl w:val="false"/>
        </w:rPr>
        <w:t xml:space="preserve">]</w:t>
      </w:r>
      <w:r>
        <w:rPr>
          <w:color w:val="444444"/>
          <w:rtl w:val="false"/>
        </w:rPr>
        <w:t xml:space="preserve">. This is a starting point. Have it reviewed by a lawyer licensed in the relevant jurisdiction before you use it.</w:t>
      </w:r>
    </w:p>
    <w:p>
      <w:pPr>
        <w:pStyle w:val="Heading1"/>
        <w:bidi w:val="false"/>
      </w:pPr>
      <w:commentRangeStart w:id="0"/>
      <w:r>
        <w:rPr>
          <w:rtl w:val="false"/>
        </w:rPr>
        <w:t xml:space="preserve">Clause 1: Heading</w:t>
      </w:r>
      <w:commentRangeEnd w:id="0"/>
      <w:r>
        <w:rPr>
          <w:rtl w:val="false"/>
        </w:rPr>
        <w:commentReference w:id="0"/>
      </w:r>
    </w:p>
    <w:p>
      <w:pPr>
        <w:bidi w:val="false"/>
      </w:pPr>
      <w:r>
        <w:rPr>
          <w:rtl w:val="false"/>
        </w:rPr>
        <w:t xml:space="preserve">To the </w:t>
      </w:r>
      <w:r>
        <w:rPr>
          <w:highlight w:val="yellow"/>
          <w:rtl w:val="false"/>
        </w:rPr>
        <w:t xml:space="preserve">[</w:t>
      </w:r>
      <w:r>
        <w:rPr>
          <w:highlight w:val="yellow"/>
          <w:rtl w:val="false"/>
        </w:rPr>
        <w:t xml:space="preserve">court</w:t>
      </w:r>
      <w:r>
        <w:rPr>
          <w:highlight w:val="yellow"/>
          <w:rtl w:val="false"/>
        </w:rPr>
        <w:t xml:space="preserve">]</w:t>
      </w:r>
      <w:r>
        <w:rPr>
          <w:rtl w:val="false"/>
        </w:rPr>
        <w:t xml:space="preserve"> in </w:t>
      </w:r>
      <w:r>
        <w:rPr>
          <w:highlight w:val="yellow"/>
          <w:rtl w:val="false"/>
        </w:rPr>
        <w:t xml:space="preserve">[</w:t>
      </w:r>
      <w:r>
        <w:rPr>
          <w:highlight w:val="yellow"/>
          <w:rtl w:val="false"/>
        </w:rPr>
        <w:t xml:space="preserve">city</w:t>
      </w:r>
      <w:r>
        <w:rPr>
          <w:highlight w:val="yellow"/>
          <w:rtl w:val="false"/>
        </w:rPr>
        <w:t xml:space="preserve">]</w:t>
      </w:r>
      <w:r>
        <w:rPr>
          <w:rtl w:val="false"/>
        </w:rPr>
        <w:t xml:space="preserve">, circuit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Case no.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Hearing </w:t>
      </w:r>
      <w:r>
        <w:rPr>
          <w:highlight w:val="yellow"/>
          <w:rtl w:val="false"/>
        </w:rPr>
        <w:t xml:space="preserve">[</w:t>
      </w:r>
      <w:r>
        <w:rPr>
          <w:highlight w:val="yellow"/>
          <w:rtl w:val="false"/>
        </w:rPr>
        <w:t xml:space="preserve">date</w:t>
      </w:r>
      <w:r>
        <w:rPr>
          <w:highlight w:val="yellow"/>
          <w:rtl w:val="false"/>
        </w:rPr>
        <w:t xml:space="preserve">]</w:t>
      </w:r>
      <w:r>
        <w:rPr>
          <w:rtl w:val="false"/>
        </w:rPr>
        <w:t xml:space="preserve">. Type: </w:t>
      </w:r>
      <w:r>
        <w:rPr>
          <w:highlight w:val="yellow"/>
          <w:rtl w:val="false"/>
        </w:rPr>
        <w:t xml:space="preserve">[</w:t>
      </w:r>
      <w:r>
        <w:rPr>
          <w:highlight w:val="yellow"/>
          <w:rtl w:val="false"/>
        </w:rPr>
        <w:t xml:space="preserve">commercial / civil / labour</w:t>
      </w:r>
      <w:r>
        <w:rPr>
          <w:highlight w:val="yellow"/>
          <w:rtl w:val="false"/>
        </w:rPr>
        <w:t xml:space="preserve">]</w:t>
      </w:r>
      <w:r>
        <w:rPr>
          <w:rtl w:val="false"/>
        </w:rPr>
        <w:t xml:space="preserve">.</w:t>
      </w:r>
    </w:p>
    <w:p>
      <w:pPr>
        <w:pStyle w:val="Heading1"/>
        <w:bidi w:val="false"/>
      </w:pPr>
      <w:commentRangeStart w:id="1"/>
      <w:r>
        <w:rPr>
          <w:rtl w:val="false"/>
        </w:rPr>
        <w:t xml:space="preserve">Clause 2: The parties</w:t>
      </w:r>
      <w:commentRangeEnd w:id="1"/>
      <w:r>
        <w:rPr>
          <w:rtl w:val="false"/>
        </w:rPr>
        <w:commentReference w:id="1"/>
      </w:r>
    </w:p>
    <w:p>
      <w:pPr>
        <w:bidi w:val="false"/>
      </w:pPr>
      <w:r>
        <w:rPr>
          <w:rtl w:val="false"/>
        </w:rPr>
        <w:t xml:space="preserve">Defendant: </w:t>
      </w:r>
      <w:r>
        <w:rPr>
          <w:highlight w:val="yellow"/>
          <w:rtl w:val="false"/>
        </w:rPr>
        <w:t xml:space="preserve">[</w:t>
      </w:r>
      <w:r>
        <w:rPr>
          <w:highlight w:val="yellow"/>
          <w:rtl w:val="false"/>
        </w:rPr>
        <w:t xml:space="preserve">name, identity or registration, address</w:t>
      </w:r>
      <w:r>
        <w:rPr>
          <w:highlight w:val="yellow"/>
          <w:rtl w:val="false"/>
        </w:rPr>
        <w:t xml:space="preserve">]</w:t>
      </w:r>
      <w:r>
        <w:rPr>
          <w:rtl w:val="false"/>
        </w:rPr>
        <w:t xml:space="preserve">. Attorney: </w:t>
      </w:r>
      <w:r>
        <w:rPr>
          <w:highlight w:val="yellow"/>
          <w:rtl w:val="false"/>
        </w:rPr>
        <w:t xml:space="preserve">[</w:t>
      </w:r>
      <w:r>
        <w:rPr>
          <w:highlight w:val="yellow"/>
          <w:rtl w:val="false"/>
        </w:rPr>
        <w:t xml:space="preserve">name, power of attorney no.</w:t>
      </w:r>
      <w:r>
        <w:rPr>
          <w:highlight w:val="yellow"/>
          <w:rtl w:val="false"/>
        </w:rPr>
        <w:t xml:space="preserve">]</w:t>
      </w:r>
      <w:r>
        <w:rPr>
          <w:rtl w:val="false"/>
        </w:rPr>
        <w:t xml:space="preserve">. Claimant: </w:t>
      </w:r>
      <w:r>
        <w:rPr>
          <w:highlight w:val="yellow"/>
          <w:rtl w:val="false"/>
        </w:rPr>
        <w:t xml:space="preserve">[</w:t>
      </w:r>
      <w:r>
        <w:rPr>
          <w:highlight w:val="yellow"/>
          <w:rtl w:val="false"/>
        </w:rPr>
        <w:t xml:space="preserve">name, address</w:t>
      </w:r>
      <w:r>
        <w:rPr>
          <w:highlight w:val="yellow"/>
          <w:rtl w:val="false"/>
        </w:rPr>
        <w:t xml:space="preserve">]</w:t>
      </w:r>
      <w:r>
        <w:rPr>
          <w:rtl w:val="false"/>
        </w:rPr>
        <w:t xml:space="preserve">.</w:t>
      </w:r>
    </w:p>
    <w:p>
      <w:pPr>
        <w:pStyle w:val="Heading1"/>
        <w:bidi w:val="false"/>
      </w:pPr>
      <w:r>
        <w:rPr>
          <w:rtl w:val="false"/>
        </w:rPr>
        <w:t xml:space="preserve">Clause 3: The claim and what the claimant asks</w:t>
      </w:r>
    </w:p>
    <w:p>
      <w:pPr>
        <w:bidi w:val="false"/>
      </w:pPr>
      <w:r>
        <w:rPr>
          <w:rtl w:val="false"/>
        </w:rPr>
        <w:t xml:space="preserve">The claimant sues for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relying on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The facts are read as they stand in the </w:t>
      </w:r>
      <w:hyperlink w:history="1" r:id="rIdx7cdqnph0hezefnvouxqs">
        <w:r>
          <w:rPr>
            <w:rStyle w:val="Hyperlink"/>
            <w:rtl w:val="false"/>
          </w:rPr>
          <w:t xml:space="preserve">statement of claim</w:t>
        </w:r>
      </w:hyperlink>
      <w:r>
        <w:rPr>
          <w:rtl w:val="false"/>
        </w:rPr>
        <w:t xml:space="preserve">, not as the defendant wishes they were.</w:t>
      </w:r>
    </w:p>
    <w:p>
      <w:pPr>
        <w:pStyle w:val="Heading1"/>
        <w:bidi w:val="false"/>
      </w:pPr>
      <w:commentRangeStart w:id="2"/>
      <w:r>
        <w:rPr>
          <w:rtl w:val="false"/>
        </w:rPr>
        <w:t xml:space="preserve">Clause 4: Procedural pleas first</w:t>
      </w:r>
      <w:commentRangeEnd w:id="2"/>
      <w:r>
        <w:rPr>
          <w:rtl w:val="false"/>
        </w:rPr>
        <w:commentReference w:id="2"/>
      </w:r>
    </w:p>
    <w:p>
      <w:pPr>
        <w:bidi w:val="false"/>
        <w:ind w:start="360" w:hanging="0"/>
      </w:pPr>
      <w:r>
        <w:rPr>
          <w:rtl w:val="false"/>
        </w:rPr>
        <w:t xml:space="preserve">(1) Invalidity of the statement of claim: </w:t>
      </w:r>
      <w:r>
        <w:rPr>
          <w:highlight w:val="yellow"/>
          <w:rtl w:val="false"/>
        </w:rPr>
        <w:t xml:space="preserve">[</w:t>
      </w:r>
      <w:r>
        <w:rPr>
          <w:highlight w:val="yellow"/>
          <w:rtl w:val="false"/>
        </w:rPr>
        <w:t xml:space="preserve">the defect / not raised</w:t>
      </w:r>
      <w:r>
        <w:rPr>
          <w:highlight w:val="yellow"/>
          <w:rtl w:val="false"/>
        </w:rPr>
        <w:t xml:space="preserve">]</w:t>
      </w:r>
      <w:r>
        <w:rPr>
          <w:rtl w:val="false"/>
        </w:rPr>
        <w:t xml:space="preserve">.</w:t>
      </w:r>
    </w:p>
    <w:p>
      <w:pPr>
        <w:bidi w:val="false"/>
        <w:ind w:start="360" w:hanging="0"/>
      </w:pPr>
      <w:r>
        <w:rPr>
          <w:rtl w:val="false"/>
        </w:rPr>
        <w:t xml:space="preserve">(2) Lack of territorial jurisdiction: </w:t>
      </w:r>
      <w:r>
        <w:rPr>
          <w:highlight w:val="yellow"/>
          <w:rtl w:val="false"/>
        </w:rPr>
        <w:t xml:space="preserve">[</w:t>
      </w:r>
      <w:r>
        <w:rPr>
          <w:highlight w:val="yellow"/>
          <w:rtl w:val="false"/>
        </w:rPr>
        <w:t xml:space="preserve">● / not raised</w:t>
      </w:r>
      <w:r>
        <w:rPr>
          <w:highlight w:val="yellow"/>
          <w:rtl w:val="false"/>
        </w:rPr>
        <w:t xml:space="preserve">]</w:t>
      </w:r>
      <w:r>
        <w:rPr>
          <w:rtl w:val="false"/>
        </w:rPr>
        <w:t xml:space="preserve">.</w:t>
      </w:r>
    </w:p>
    <w:p>
      <w:pPr>
        <w:bidi w:val="false"/>
        <w:ind w:start="360" w:hanging="0"/>
      </w:pPr>
      <w:r>
        <w:rPr>
          <w:rtl w:val="false"/>
        </w:rPr>
        <w:t xml:space="preserve">(3) Transfer: </w:t>
      </w:r>
      <w:r>
        <w:rPr>
          <w:highlight w:val="yellow"/>
          <w:rtl w:val="false"/>
        </w:rPr>
        <w:t xml:space="preserve">[</w:t>
      </w:r>
      <w:r>
        <w:rPr>
          <w:highlight w:val="yellow"/>
          <w:rtl w:val="false"/>
        </w:rPr>
        <w:t xml:space="preserve">to ● / not requested</w:t>
      </w:r>
      <w:r>
        <w:rPr>
          <w:highlight w:val="yellow"/>
          <w:rtl w:val="false"/>
        </w:rPr>
        <w:t xml:space="preserve">]</w:t>
      </w:r>
      <w:r>
        <w:rPr>
          <w:rtl w:val="false"/>
        </w:rPr>
        <w:t xml:space="preserve">.</w:t>
      </w:r>
    </w:p>
    <w:p>
      <w:pPr>
        <w:pStyle w:val="Heading1"/>
        <w:bidi w:val="false"/>
      </w:pPr>
      <w:commentRangeStart w:id="3"/>
      <w:r>
        <w:rPr>
          <w:rtl w:val="false"/>
        </w:rPr>
        <w:t xml:space="preserve">Clause 5: Pleas that the claim is not admissible</w:t>
      </w:r>
      <w:commentRangeEnd w:id="3"/>
      <w:r>
        <w:rPr>
          <w:rtl w:val="false"/>
        </w:rPr>
        <w:commentReference w:id="3"/>
      </w:r>
    </w:p>
    <w:p>
      <w:pPr>
        <w:bidi w:val="false"/>
        <w:ind w:start="360" w:hanging="0"/>
      </w:pPr>
      <w:r>
        <w:rPr>
          <w:rtl w:val="false"/>
        </w:rPr>
        <w:t xml:space="preserve">(1) No standing or no interest: </w:t>
      </w:r>
      <w:r>
        <w:rPr>
          <w:highlight w:val="yellow"/>
          <w:rtl w:val="false"/>
        </w:rPr>
        <w:t xml:space="preserve">[</w:t>
      </w:r>
      <w:r>
        <w:rPr>
          <w:highlight w:val="yellow"/>
          <w:rtl w:val="false"/>
        </w:rPr>
        <w:t xml:space="preserve">● / not raised</w:t>
      </w:r>
      <w:r>
        <w:rPr>
          <w:highlight w:val="yellow"/>
          <w:rtl w:val="false"/>
        </w:rPr>
        <w:t xml:space="preserve">]</w:t>
      </w:r>
      <w:r>
        <w:rPr>
          <w:rtl w:val="false"/>
        </w:rPr>
        <w:t xml:space="preserve">.</w:t>
      </w:r>
    </w:p>
    <w:p>
      <w:pPr>
        <w:bidi w:val="false"/>
        <w:ind w:start="360" w:hanging="0"/>
      </w:pPr>
      <w:r>
        <w:rPr>
          <w:rtl w:val="false"/>
        </w:rPr>
        <w:t xml:space="preserve">(2) The claim is not heard because time has passed: </w:t>
      </w:r>
      <w:r>
        <w:rPr>
          <w:highlight w:val="yellow"/>
          <w:rtl w:val="false"/>
        </w:rPr>
        <w:t xml:space="preserve">[</w:t>
      </w:r>
      <w:r>
        <w:rPr>
          <w:highlight w:val="yellow"/>
          <w:rtl w:val="false"/>
        </w:rPr>
        <w:t xml:space="preserve">● / not raised</w:t>
      </w:r>
      <w:r>
        <w:rPr>
          <w:highlight w:val="yellow"/>
          <w:rtl w:val="false"/>
        </w:rPr>
        <w:t xml:space="preserve">]</w:t>
      </w:r>
      <w:r>
        <w:rPr>
          <w:rtl w:val="false"/>
        </w:rPr>
        <w:t xml:space="preserve">.</w:t>
      </w:r>
    </w:p>
    <w:p>
      <w:pPr>
        <w:bidi w:val="false"/>
        <w:ind w:start="360" w:hanging="0"/>
      </w:pPr>
      <w:r>
        <w:rPr>
          <w:rtl w:val="false"/>
        </w:rPr>
        <w:t xml:space="preserve">(3) No prior notice where one is required: </w:t>
      </w:r>
      <w:r>
        <w:rPr>
          <w:highlight w:val="yellow"/>
          <w:rtl w:val="false"/>
        </w:rPr>
        <w:t xml:space="preserve">[</w:t>
      </w:r>
      <w:r>
        <w:rPr>
          <w:highlight w:val="yellow"/>
          <w:rtl w:val="false"/>
        </w:rPr>
        <w:t xml:space="preserve">● / not applicable</w:t>
      </w:r>
      <w:r>
        <w:rPr>
          <w:highlight w:val="yellow"/>
          <w:rtl w:val="false"/>
        </w:rPr>
        <w:t xml:space="preserve">]</w:t>
      </w:r>
      <w:r>
        <w:rPr>
          <w:rtl w:val="false"/>
        </w:rPr>
        <w:t xml:space="preserve">.</w:t>
      </w:r>
    </w:p>
    <w:p>
      <w:pPr>
        <w:pStyle w:val="Heading1"/>
        <w:bidi w:val="false"/>
      </w:pPr>
      <w:commentRangeStart w:id="4"/>
      <w:r>
        <w:rPr>
          <w:rtl w:val="false"/>
        </w:rPr>
        <w:t xml:space="preserve">Clause 6: Defence on the merits</w:t>
      </w:r>
      <w:commentRangeEnd w:id="4"/>
      <w:r>
        <w:rPr>
          <w:rtl w:val="false"/>
        </w:rPr>
        <w:commentReference w:id="4"/>
      </w:r>
    </w:p>
    <w:p>
      <w:pPr>
        <w:bidi w:val="false"/>
        <w:ind w:start="360" w:hanging="0"/>
      </w:pPr>
      <w:r>
        <w:rPr>
          <w:rtl w:val="false"/>
        </w:rPr>
        <w:t xml:space="preserve">(1) Reply to fact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w:t>
      </w:r>
      <w:r>
        <w:rPr>
          <w:highlight w:val="yellow"/>
          <w:rtl w:val="false"/>
        </w:rPr>
        <w:t xml:space="preserve">[</w:t>
      </w:r>
      <w:r>
        <w:rPr>
          <w:highlight w:val="yellow"/>
          <w:rtl w:val="false"/>
        </w:rPr>
        <w:t xml:space="preserve">denial or a partial admission</w:t>
      </w:r>
      <w:r>
        <w:rPr>
          <w:highlight w:val="yellow"/>
          <w:rtl w:val="false"/>
        </w:rPr>
        <w:t xml:space="preserve">]</w:t>
      </w:r>
      <w:r>
        <w:rPr>
          <w:rtl w:val="false"/>
        </w:rPr>
        <w:t xml:space="preserve">.</w:t>
      </w:r>
    </w:p>
    <w:p>
      <w:pPr>
        <w:bidi w:val="false"/>
        <w:ind w:start="360" w:hanging="0"/>
      </w:pPr>
      <w:r>
        <w:rPr>
          <w:rtl w:val="false"/>
        </w:rPr>
        <w:t xml:space="preserve">(2) Reply to ground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w:t>
      </w:r>
    </w:p>
    <w:p>
      <w:pPr>
        <w:bidi w:val="false"/>
        <w:ind w:start="360" w:hanging="0"/>
      </w:pPr>
      <w:r>
        <w:rPr>
          <w:rtl w:val="false"/>
        </w:rPr>
        <w:t xml:space="preserve">(3) </w:t>
      </w:r>
      <w:r>
        <w:rPr>
          <w:highlight w:val="yellow"/>
          <w:rtl w:val="false"/>
        </w:rPr>
        <w:t xml:space="preserve">[</w:t>
      </w:r>
      <w:r>
        <w:rPr>
          <w:highlight w:val="yellow"/>
          <w:rtl w:val="false"/>
        </w:rPr>
        <w:t xml:space="preserve">External cause / performance / payment / set-off</w:t>
      </w:r>
      <w:r>
        <w:rPr>
          <w:highlight w:val="yellow"/>
          <w:rtl w:val="false"/>
        </w:rPr>
        <w:t xml:space="preserve">]</w:t>
      </w:r>
      <w:r>
        <w:rPr>
          <w:rtl w:val="false"/>
        </w:rPr>
        <w:t xml:space="preserve">, if it applies: </w:t>
      </w:r>
      <w:r>
        <w:rPr>
          <w:highlight w:val="yellow"/>
          <w:rtl w:val="false"/>
        </w:rPr>
        <w:t xml:space="preserve">[</w:t>
      </w:r>
      <w:r>
        <w:rPr>
          <w:highlight w:val="yellow"/>
          <w:rtl w:val="false"/>
        </w:rPr>
        <w:t xml:space="preserve">●</w:t>
      </w:r>
      <w:r>
        <w:rPr>
          <w:highlight w:val="yellow"/>
          <w:rtl w:val="false"/>
        </w:rPr>
        <w:t xml:space="preserve">]</w:t>
      </w:r>
      <w:r>
        <w:rPr>
          <w:rtl w:val="false"/>
        </w:rPr>
        <w:t xml:space="preserve">.</w:t>
      </w:r>
    </w:p>
    <w:p>
      <w:pPr>
        <w:pStyle w:val="Heading1"/>
        <w:bidi w:val="false"/>
      </w:pPr>
      <w:commentRangeStart w:id="5"/>
      <w:r>
        <w:rPr>
          <w:rtl w:val="false"/>
        </w:rPr>
        <w:t xml:space="preserve">Clause 7: Evidence</w:t>
      </w:r>
      <w:commentRangeEnd w:id="5"/>
      <w:r>
        <w:rPr>
          <w:rtl w:val="false"/>
        </w:rPr>
        <w:commentReference w:id="5"/>
      </w:r>
    </w:p>
    <w:p>
      <w:pPr>
        <w:bidi w:val="false"/>
      </w:pPr>
      <w:r>
        <w:rPr>
          <w:rtl w:val="false"/>
        </w:rPr>
        <w:t xml:space="preserve">The claimant proves what is claimed, and the defendant may disprove it. The defendant asks for: </w:t>
      </w:r>
      <w:r>
        <w:rPr>
          <w:highlight w:val="yellow"/>
          <w:rtl w:val="false"/>
        </w:rPr>
        <w:t xml:space="preserve">[</w:t>
      </w:r>
      <w:r>
        <w:rPr>
          <w:highlight w:val="yellow"/>
          <w:rtl w:val="false"/>
        </w:rPr>
        <w:t xml:space="preserve">an expert / questioning / a decisive oath / none of these</w:t>
      </w:r>
      <w:r>
        <w:rPr>
          <w:highlight w:val="yellow"/>
          <w:rtl w:val="false"/>
        </w:rPr>
        <w:t xml:space="preserve">]</w:t>
      </w:r>
      <w:r>
        <w:rPr>
          <w:rtl w:val="false"/>
        </w:rPr>
        <w:t xml:space="preserve">.</w:t>
      </w:r>
    </w:p>
    <w:p>
      <w:pPr>
        <w:pStyle w:val="Heading1"/>
        <w:bidi w:val="false"/>
      </w:pPr>
      <w:commentRangeStart w:id="6"/>
      <w:r>
        <w:rPr>
          <w:rtl w:val="false"/>
        </w:rPr>
        <w:t xml:space="preserve">Clause 8: Incidental request or counterclaim</w:t>
      </w:r>
      <w:commentRangeEnd w:id="6"/>
      <w:r>
        <w:rPr>
          <w:rtl w:val="false"/>
        </w:rPr>
        <w:commentReference w:id="6"/>
      </w:r>
    </w:p>
    <w:p>
      <w:pPr>
        <w:bidi w:val="false"/>
      </w:pPr>
      <w:r>
        <w:rPr>
          <w:highlight w:val="yellow"/>
          <w:rtl w:val="false"/>
        </w:rPr>
        <w:t xml:space="preserve">[</w:t>
      </w:r>
      <w:r>
        <w:rPr>
          <w:highlight w:val="yellow"/>
          <w:rtl w:val="false"/>
        </w:rPr>
        <w:t xml:space="preserve">No incidental request / the defendant asks for ● relying on ●</w:t>
      </w:r>
      <w:r>
        <w:rPr>
          <w:highlight w:val="yellow"/>
          <w:rtl w:val="false"/>
        </w:rPr>
        <w:t xml:space="preserve">]</w:t>
      </w:r>
      <w:r>
        <w:rPr>
          <w:rtl w:val="false"/>
        </w:rPr>
        <w:t xml:space="preserve">. Counterclaim, if any: </w:t>
      </w:r>
      <w:r>
        <w:rPr>
          <w:highlight w:val="yellow"/>
          <w:rtl w:val="false"/>
        </w:rPr>
        <w:t xml:space="preserve">[</w:t>
      </w:r>
      <w:r>
        <w:rPr>
          <w:highlight w:val="yellow"/>
          <w:rtl w:val="false"/>
        </w:rPr>
        <w:t xml:space="preserve">●</w:t>
      </w:r>
      <w:r>
        <w:rPr>
          <w:highlight w:val="yellow"/>
          <w:rtl w:val="false"/>
        </w:rPr>
        <w:t xml:space="preserve">]</w:t>
      </w:r>
      <w:r>
        <w:rPr>
          <w:rtl w:val="false"/>
        </w:rPr>
        <w:t xml:space="preserve">.</w:t>
      </w:r>
    </w:p>
    <w:p>
      <w:pPr>
        <w:pStyle w:val="Heading1"/>
        <w:bidi w:val="false"/>
      </w:pPr>
      <w:commentRangeStart w:id="7"/>
      <w:r>
        <w:rPr>
          <w:rtl w:val="false"/>
        </w:rPr>
        <w:t xml:space="preserve">Clause 9: Final requests</w:t>
      </w:r>
      <w:commentRangeEnd w:id="7"/>
      <w:r>
        <w:rPr>
          <w:rtl w:val="false"/>
        </w:rPr>
        <w:commentReference w:id="7"/>
      </w:r>
    </w:p>
    <w:p>
      <w:pPr>
        <w:bidi w:val="false"/>
        <w:ind w:start="360" w:hanging="0"/>
      </w:pPr>
      <w:r>
        <w:rPr>
          <w:rtl w:val="false"/>
        </w:rPr>
        <w:t xml:space="preserve">(1) Dismiss the claim.</w:t>
      </w:r>
    </w:p>
    <w:p>
      <w:pPr>
        <w:bidi w:val="false"/>
        <w:ind w:start="360" w:hanging="0"/>
      </w:pPr>
      <w:r>
        <w:rPr>
          <w:rtl w:val="false"/>
        </w:rPr>
        <w:t xml:space="preserve">(2) Order the claimant to pay costs, where that is available.</w:t>
      </w:r>
    </w:p>
    <w:p>
      <w:pPr>
        <w:bidi w:val="false"/>
        <w:ind w:start="360" w:hanging="0"/>
      </w:pPr>
      <w:r>
        <w:rPr>
          <w:rtl w:val="false"/>
        </w:rPr>
        <w:t xml:space="preserve">(3) </w:t>
      </w:r>
      <w:r>
        <w:rPr>
          <w:highlight w:val="yellow"/>
          <w:rtl w:val="false"/>
        </w:rPr>
        <w:t xml:space="preserve">[</w:t>
      </w:r>
      <w:r>
        <w:rPr>
          <w:highlight w:val="yellow"/>
          <w:rtl w:val="false"/>
        </w:rPr>
        <w:t xml:space="preserve">Compensation for a vexatious claim / not requested</w:t>
      </w:r>
      <w:r>
        <w:rPr>
          <w:highlight w:val="yellow"/>
          <w:rtl w:val="false"/>
        </w:rPr>
        <w:t xml:space="preserve">]</w:t>
      </w:r>
      <w:r>
        <w:rPr>
          <w:rtl w:val="false"/>
        </w:rPr>
        <w:t xml:space="preserve">.</w:t>
      </w:r>
    </w:p>
    <w:p>
      <w:pPr>
        <w:pStyle w:val="Heading1"/>
        <w:bidi w:val="false"/>
      </w:pPr>
      <w:r>
        <w:rPr>
          <w:rtl w:val="false"/>
        </w:rPr>
        <w:t xml:space="preserve">Clause 10: Attachments and signature</w:t>
      </w:r>
    </w:p>
    <w:p>
      <w:pPr>
        <w:pBdr>
          <w:top w:val="single" w:color="888888" w:sz="6" w:space="6"/>
          <w:left w:val="single" w:color="888888" w:sz="6" w:space="6"/>
          <w:bottom w:val="single" w:color="888888" w:sz="6" w:space="6"/>
          <w:right w:val="single" w:color="888888" w:sz="6" w:space="6"/>
        </w:pBdr>
        <w:bidi w:val="false"/>
        <w:spacing w:after="120"/>
      </w:pPr>
      <w:r>
        <w:rPr>
          <w:b/>
          <w:bCs/>
          <w:rtl w:val="false"/>
        </w:rPr>
        <w:t xml:space="preserve">Filed by:</w:t>
      </w:r>
      <w:r>
        <w:rPr>
          <w:rtl w:val="false"/>
        </w:rPr>
        <w:t xml:space="preserve"> name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capacity </w:t>
      </w:r>
      <w:r>
        <w:rPr>
          <w:highlight w:val="yellow"/>
          <w:rtl w:val="false"/>
        </w:rPr>
        <w:t xml:space="preserve">[</w:t>
      </w:r>
      <w:r>
        <w:rPr>
          <w:highlight w:val="yellow"/>
          <w:rtl w:val="false"/>
        </w:rPr>
        <w:t xml:space="preserve">principal / attorney</w:t>
      </w:r>
      <w:r>
        <w:rPr>
          <w:highlight w:val="yellow"/>
          <w:rtl w:val="false"/>
        </w:rPr>
        <w:t xml:space="preserve">]</w:t>
      </w:r>
      <w:r>
        <w:rPr>
          <w:rtl w:val="false"/>
        </w:rPr>
        <w:t xml:space="preserve"> · power of attorney no.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signature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date </w:t>
      </w:r>
      <w:r>
        <w:rPr>
          <w:highlight w:val="yellow"/>
          <w:rtl w:val="false"/>
        </w:rPr>
        <w:t xml:space="preserve">[</w:t>
      </w:r>
      <w:r>
        <w:rPr>
          <w:highlight w:val="yellow"/>
          <w:rtl w:val="false"/>
        </w:rPr>
        <w:t xml:space="preserve">●</w:t>
      </w:r>
      <w:r>
        <w:rPr>
          <w:highlight w:val="yellow"/>
          <w:rtl w:val="false"/>
        </w:rPr>
        <w:t xml:space="preserve">]</w:t>
      </w:r>
    </w:p>
    <w:p>
      <w:pPr>
        <w:pBdr>
          <w:top w:val="single" w:color="888888" w:sz="6" w:space="6"/>
          <w:left w:val="single" w:color="888888" w:sz="6" w:space="6"/>
          <w:bottom w:val="single" w:color="888888" w:sz="6" w:space="6"/>
          <w:right w:val="single" w:color="888888" w:sz="6" w:space="6"/>
        </w:pBdr>
        <w:bidi w:val="false"/>
        <w:spacing w:after="120"/>
      </w:pPr>
      <w:r>
        <w:rPr>
          <w:b/>
          <w:bCs/>
          <w:rtl w:val="false"/>
        </w:rPr>
        <w:t xml:space="preserve">Attachments:</w:t>
      </w:r>
      <w:r>
        <w:rPr>
          <w:rtl w:val="false"/>
        </w:rPr>
        <w:t xml:space="preserve"> Annex 1.</w:t>
      </w:r>
    </w:p>
    <w:p>
      <w:pPr>
        <w:pStyle w:val="Heading1"/>
        <w:bidi w:val="false"/>
      </w:pPr>
      <w:commentRangeStart w:id="8"/>
      <w:r>
        <w:rPr>
          <w:rtl w:val="false"/>
        </w:rPr>
        <w:t xml:space="preserve">Clause 11: Filing deadline</w:t>
      </w:r>
      <w:commentRangeEnd w:id="8"/>
      <w:r>
        <w:rPr>
          <w:rtl w:val="false"/>
        </w:rPr>
        <w:commentReference w:id="8"/>
      </w:r>
    </w:p>
    <w:p>
      <w:pPr>
        <w:bidi w:val="false"/>
      </w:pPr>
      <w:r>
        <w:rPr>
          <w:rtl w:val="false"/>
        </w:rPr>
        <w:t xml:space="preserve">File this memorandum before the hearing fixed for </w:t>
      </w:r>
      <w:r>
        <w:rPr>
          <w:highlight w:val="yellow"/>
          <w:rtl w:val="false"/>
        </w:rPr>
        <w:t xml:space="preserve">[</w:t>
      </w:r>
      <w:r>
        <w:rPr>
          <w:highlight w:val="yellow"/>
          <w:rtl w:val="false"/>
        </w:rPr>
        <w:t xml:space="preserve">date</w:t>
      </w:r>
      <w:r>
        <w:rPr>
          <w:highlight w:val="yellow"/>
          <w:rtl w:val="false"/>
        </w:rPr>
        <w:t xml:space="preserve">]</w:t>
      </w:r>
      <w:r>
        <w:rPr>
          <w:rtl w:val="false"/>
        </w:rPr>
        <w:t xml:space="preserve">, on the deadline that applies to this court, not on the day of the hearing.</w:t>
      </w:r>
    </w:p>
    <w:p>
      <w:pPr>
        <w:pStyle w:val="Heading1"/>
        <w:pageBreakBefore/>
        <w:bidi w:val="false"/>
      </w:pPr>
      <w:r>
        <w:rPr>
          <w:rtl w:val="false"/>
        </w:rPr>
        <w:t xml:space="preserve">Notes for Saudi Arabia</w:t>
      </w:r>
    </w:p>
    <w:p>
      <w:pPr>
        <w:bidi w:val="false"/>
      </w:pPr>
      <w:r>
        <w:rPr>
          <w:rtl w:val="false"/>
        </w:rPr>
        <w:t xml:space="preserve">The Commercial Courts Law, the Law of Procedure before Sharia Courts, and the Law of Evidence.</w:t>
      </w:r>
      <w:r>
        <w:rPr>
          <w:rtl w:val="false"/>
        </w:rPr>
        <w:t xml:space="preserve"> [1][2][3]</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Point</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Text</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Commercial court</w:t>
            </w:r>
          </w:p>
        </w:tc>
        <w:tc>
          <w:tcPr>
            <w:tcMar>
              <w:top w:type="dxa" w:w="80"/>
              <w:left w:type="dxa" w:w="100"/>
              <w:bottom w:type="dxa" w:w="80"/>
              <w:right w:type="dxa" w:w="100"/>
            </w:tcMar>
          </w:tcPr>
          <w:p>
            <w:pPr>
              <w:bidi w:val="false"/>
              <w:spacing w:after="0"/>
            </w:pPr>
            <w:r>
              <w:rPr>
                <w:b w:val="false"/>
                <w:sz w:val="18"/>
                <w:szCs w:val="18"/>
                <w:rtl w:val="false"/>
              </w:rPr>
              <w:t xml:space="preserve">Other than in urgent applications, the defendant files a memorandum with the answer, pleas, requests and grounds at least one day before the hearing (Article 22).</w:t>
            </w:r>
            <w:r>
              <w:rPr>
                <w:b w:val="false"/>
                <w:sz w:val="18"/>
                <w:szCs w:val="18"/>
                <w:rtl w:val="false"/>
              </w:rPr>
              <w:t xml:space="preserve"> [1]</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Procedure</w:t>
            </w:r>
          </w:p>
        </w:tc>
        <w:tc>
          <w:tcPr>
            <w:tcMar>
              <w:top w:type="dxa" w:w="80"/>
              <w:left w:type="dxa" w:w="100"/>
              <w:bottom w:type="dxa" w:w="80"/>
              <w:right w:type="dxa" w:w="100"/>
            </w:tcMar>
          </w:tcPr>
          <w:p>
            <w:pPr>
              <w:bidi w:val="false"/>
              <w:spacing w:after="0"/>
            </w:pPr>
            <w:r>
              <w:rPr>
                <w:b w:val="false"/>
                <w:sz w:val="18"/>
                <w:szCs w:val="18"/>
                <w:rtl w:val="false"/>
              </w:rPr>
              <w:t xml:space="preserve">Filing is three days before the hearing in the general court, and one day in the other courts (Article 45).</w:t>
            </w:r>
            <w:r>
              <w:rPr>
                <w:b w:val="false"/>
                <w:sz w:val="18"/>
                <w:szCs w:val="18"/>
                <w:rtl w:val="false"/>
              </w:rPr>
              <w:t xml:space="preserve"> [2]</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Waiver</w:t>
            </w:r>
          </w:p>
        </w:tc>
        <w:tc>
          <w:tcPr>
            <w:tcMar>
              <w:top w:type="dxa" w:w="80"/>
              <w:left w:type="dxa" w:w="100"/>
              <w:bottom w:type="dxa" w:w="80"/>
              <w:right w:type="dxa" w:w="100"/>
            </w:tcMar>
          </w:tcPr>
          <w:p>
            <w:pPr>
              <w:bidi w:val="false"/>
              <w:spacing w:after="0"/>
            </w:pPr>
            <w:r>
              <w:rPr>
                <w:b w:val="false"/>
                <w:sz w:val="18"/>
                <w:szCs w:val="18"/>
                <w:rtl w:val="false"/>
              </w:rPr>
              <w:t xml:space="preserve">A plea of invalidity of the claim, lack of territorial jurisdiction, or transfer is raised before any request or defence, or it is waived (Article 75).</w:t>
            </w:r>
            <w:r>
              <w:rPr>
                <w:b w:val="false"/>
                <w:sz w:val="18"/>
                <w:szCs w:val="18"/>
                <w:rtl w:val="false"/>
              </w:rPr>
              <w:t xml:space="preserve"> [2]</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Subject-matter jurisdiction</w:t>
            </w:r>
          </w:p>
        </w:tc>
        <w:tc>
          <w:tcPr>
            <w:tcMar>
              <w:top w:type="dxa" w:w="80"/>
              <w:left w:type="dxa" w:w="100"/>
              <w:bottom w:type="dxa" w:w="80"/>
              <w:right w:type="dxa" w:w="100"/>
            </w:tcMar>
          </w:tcPr>
          <w:p>
            <w:pPr>
              <w:bidi w:val="false"/>
              <w:spacing w:after="0"/>
            </w:pPr>
            <w:r>
              <w:rPr>
                <w:b w:val="false"/>
                <w:sz w:val="18"/>
                <w:szCs w:val="18"/>
                <w:rtl w:val="false"/>
              </w:rPr>
              <w:t xml:space="preserve">Read it in the Commercial Courts Law. This page states no article number and no time for the decision.</w:t>
            </w:r>
            <w:r>
              <w:rPr>
                <w:b w:val="false"/>
                <w:sz w:val="18"/>
                <w:szCs w:val="18"/>
                <w:rtl w:val="false"/>
              </w:rPr>
              <w:t xml:space="preserve"> [1]</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Vexatious claim</w:t>
            </w:r>
          </w:p>
        </w:tc>
        <w:tc>
          <w:tcPr>
            <w:tcMar>
              <w:top w:type="dxa" w:w="80"/>
              <w:left w:type="dxa" w:w="100"/>
              <w:bottom w:type="dxa" w:w="80"/>
              <w:right w:type="dxa" w:w="100"/>
            </w:tcMar>
          </w:tcPr>
          <w:p>
            <w:pPr>
              <w:bidi w:val="false"/>
              <w:spacing w:after="0"/>
            </w:pPr>
            <w:r>
              <w:rPr>
                <w:b w:val="false"/>
                <w:sz w:val="18"/>
                <w:szCs w:val="18"/>
                <w:rtl w:val="false"/>
              </w:rPr>
              <w:t xml:space="preserve">A sham or vexatious claim is dismissed, and a discretionary penalty may be imposed (Article 3).</w:t>
            </w:r>
            <w:r>
              <w:rPr>
                <w:b w:val="false"/>
                <w:sz w:val="18"/>
                <w:szCs w:val="18"/>
                <w:rtl w:val="false"/>
              </w:rPr>
              <w:t xml:space="preserve"> [2]</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Proof</w:t>
            </w:r>
          </w:p>
        </w:tc>
        <w:tc>
          <w:tcPr>
            <w:tcMar>
              <w:top w:type="dxa" w:w="80"/>
              <w:left w:type="dxa" w:w="100"/>
              <w:bottom w:type="dxa" w:w="80"/>
              <w:right w:type="dxa" w:w="100"/>
            </w:tcMar>
          </w:tcPr>
          <w:p>
            <w:pPr>
              <w:bidi w:val="false"/>
              <w:spacing w:after="0"/>
            </w:pPr>
            <w:r>
              <w:rPr>
                <w:b w:val="false"/>
                <w:sz w:val="18"/>
                <w:szCs w:val="18"/>
                <w:rtl w:val="false"/>
              </w:rPr>
              <w:t xml:space="preserve">The claimant proves the claim and the defendant may disprove it (Law of Evidence, Article 2).</w:t>
            </w:r>
            <w:r>
              <w:rPr>
                <w:b w:val="false"/>
                <w:sz w:val="18"/>
                <w:szCs w:val="18"/>
                <w:rtl w:val="false"/>
              </w:rPr>
              <w:t xml:space="preserve"> [3]</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Oath</w:t>
            </w:r>
          </w:p>
        </w:tc>
        <w:tc>
          <w:tcPr>
            <w:tcMar>
              <w:top w:type="dxa" w:w="80"/>
              <w:left w:type="dxa" w:w="100"/>
              <w:bottom w:type="dxa" w:w="80"/>
              <w:right w:type="dxa" w:w="100"/>
            </w:tcMar>
          </w:tcPr>
          <w:p>
            <w:pPr>
              <w:bidi w:val="false"/>
              <w:spacing w:after="0"/>
            </w:pPr>
            <w:r>
              <w:rPr>
                <w:b w:val="false"/>
                <w:sz w:val="18"/>
                <w:szCs w:val="18"/>
                <w:rtl w:val="false"/>
              </w:rPr>
              <w:t xml:space="preserve">The defendant takes the decisive oath to defeat the claim, and may refer it back (Article 92).</w:t>
            </w:r>
            <w:r>
              <w:rPr>
                <w:b w:val="false"/>
                <w:sz w:val="18"/>
                <w:szCs w:val="18"/>
                <w:rtl w:val="false"/>
              </w:rPr>
              <w:t xml:space="preserve"> [3]</w:t>
            </w:r>
          </w:p>
        </w:tc>
      </w:tr>
    </w:tbl>
    <w:p>
      <w:pPr>
        <w:bidi w:val="false"/>
      </w:pPr>
    </w:p>
    <w:p>
      <w:pPr>
        <w:pStyle w:val="Heading1"/>
        <w:pageBreakBefore/>
        <w:bidi w:val="false"/>
      </w:pPr>
      <w:r>
        <w:rPr>
          <w:rtl w:val="false"/>
        </w:rPr>
        <w:t xml:space="preserve">Notes for the United Arab Emirates</w:t>
      </w:r>
    </w:p>
    <w:p>
      <w:pPr>
        <w:bidi w:val="false"/>
      </w:pPr>
      <w:r>
        <w:rPr>
          <w:rtl w:val="false"/>
        </w:rPr>
        <w:t xml:space="preserve">No article number. The usual name is a reply memorandum or a response.</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Point</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What is said here</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The law</w:t>
            </w:r>
          </w:p>
        </w:tc>
        <w:tc>
          <w:tcPr>
            <w:tcMar>
              <w:top w:type="dxa" w:w="80"/>
              <w:left w:type="dxa" w:w="100"/>
              <w:bottom w:type="dxa" w:w="80"/>
              <w:right w:type="dxa" w:w="100"/>
            </w:tcMar>
          </w:tcPr>
          <w:p>
            <w:pPr>
              <w:bidi w:val="false"/>
              <w:spacing w:after="0"/>
            </w:pPr>
            <w:r>
              <w:rPr>
                <w:b w:val="false"/>
                <w:sz w:val="18"/>
                <w:szCs w:val="18"/>
                <w:rtl w:val="false"/>
              </w:rPr>
              <w:t xml:space="preserve">Federal Decree-Law No. 42 of 2022 regulates the exchange of memoranda and pleas. No article number is stated.</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The name</w:t>
            </w:r>
          </w:p>
        </w:tc>
        <w:tc>
          <w:tcPr>
            <w:tcMar>
              <w:top w:type="dxa" w:w="80"/>
              <w:left w:type="dxa" w:w="100"/>
              <w:bottom w:type="dxa" w:w="80"/>
              <w:right w:type="dxa" w:w="100"/>
            </w:tcMar>
          </w:tcPr>
          <w:p>
            <w:pPr>
              <w:bidi w:val="false"/>
              <w:spacing w:after="0"/>
            </w:pPr>
            <w:r>
              <w:rPr>
                <w:b w:val="false"/>
                <w:sz w:val="18"/>
                <w:szCs w:val="18"/>
                <w:rtl w:val="false"/>
              </w:rPr>
              <w:t xml:space="preserve">“Reply memorandum” or “response” is the usual usage, alongside “statement of defence”.</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The deadline</w:t>
            </w:r>
          </w:p>
        </w:tc>
        <w:tc>
          <w:tcPr>
            <w:tcMar>
              <w:top w:type="dxa" w:w="80"/>
              <w:left w:type="dxa" w:w="100"/>
              <w:bottom w:type="dxa" w:w="80"/>
              <w:right w:type="dxa" w:w="100"/>
            </w:tcMar>
          </w:tcPr>
          <w:p>
            <w:pPr>
              <w:bidi w:val="false"/>
              <w:spacing w:after="0"/>
            </w:pPr>
            <w:r>
              <w:rPr>
                <w:b w:val="false"/>
                <w:sz w:val="18"/>
                <w:szCs w:val="18"/>
                <w:rtl w:val="false"/>
              </w:rPr>
              <w:t xml:space="preserve">Take the filing deadline from the court regulations or the circuit’s order, not from this page.</w:t>
            </w:r>
          </w:p>
        </w:tc>
      </w:tr>
    </w:tbl>
    <w:p>
      <w:pPr>
        <w:bidi w:val="false"/>
      </w:pPr>
    </w:p>
    <w:p>
      <w:pPr>
        <w:pStyle w:val="Heading1"/>
        <w:bidi w:val="false"/>
      </w:pPr>
      <w:r>
        <w:rPr>
          <w:rtl w:val="false"/>
        </w:rPr>
        <w:t xml:space="preserve">Bahrain, Qatar, Kuwait and Oman</w:t>
      </w:r>
    </w:p>
    <w:p>
      <w:pPr>
        <w:pStyle w:val="ListParagraph"/>
        <w:numPr>
          <w:ilvl w:val="0"/>
          <w:numId w:val="2"/>
        </w:numPr>
        <w:bidi w:val="false"/>
      </w:pPr>
      <w:r>
        <w:rPr>
          <w:rtl w:val="false"/>
        </w:rPr>
        <w:t xml:space="preserve">Bahrain: the civil and commercial procedure law was not checked. Take the deadline from a Bahraini lawyer.</w:t>
      </w:r>
    </w:p>
    <w:p>
      <w:pPr>
        <w:pStyle w:val="ListParagraph"/>
        <w:numPr>
          <w:ilvl w:val="0"/>
          <w:numId w:val="2"/>
        </w:numPr>
        <w:bidi w:val="false"/>
      </w:pPr>
      <w:r>
        <w:rPr>
          <w:rtl w:val="false"/>
        </w:rPr>
        <w:t xml:space="preserve">Qatar: the civil and commercial procedure law was not checked.</w:t>
      </w:r>
    </w:p>
    <w:p>
      <w:pPr>
        <w:pStyle w:val="ListParagraph"/>
        <w:numPr>
          <w:ilvl w:val="0"/>
          <w:numId w:val="2"/>
        </w:numPr>
        <w:bidi w:val="false"/>
      </w:pPr>
      <w:r>
        <w:rPr>
          <w:rtl w:val="false"/>
        </w:rPr>
        <w:t xml:space="preserve">Kuwait: the civil and commercial procedure law was not checked.</w:t>
      </w:r>
    </w:p>
    <w:p>
      <w:pPr>
        <w:pStyle w:val="ListParagraph"/>
        <w:numPr>
          <w:ilvl w:val="0"/>
          <w:numId w:val="2"/>
        </w:numPr>
        <w:bidi w:val="false"/>
      </w:pPr>
      <w:r>
        <w:rPr>
          <w:rtl w:val="false"/>
        </w:rPr>
        <w:t xml:space="preserve">Oman: the civil and commercial procedure law was not checked.</w:t>
      </w:r>
    </w:p>
    <w:p>
      <w:pPr>
        <w:pStyle w:val="Heading1"/>
        <w:pageBreakBefore/>
        <w:bidi w:val="false"/>
      </w:pPr>
      <w:r>
        <w:rPr>
          <w:rtl w:val="false"/>
        </w:rPr>
        <w:t xml:space="preserve">Annex 1: Attachments</w:t>
      </w:r>
    </w:p>
    <w:p>
      <w:pPr>
        <w:bidi w:val="false"/>
      </w:pPr>
      <w:r>
        <w:rPr>
          <w:rtl w:val="false"/>
        </w:rPr>
        <w:t xml:space="preserve">Describe each document. Attach the notice or the release if a plea rests on it.</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169"/>
        <w:gridCol w:w="3169"/>
        <w:gridCol w:w="3169"/>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No.</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Description</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Type</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1</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Description</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Contract / notice / release</w:t>
            </w:r>
            <w:r>
              <w:rPr>
                <w:b w:val="false"/>
                <w:sz w:val="18"/>
                <w:szCs w:val="18"/>
                <w:highlight w:val="yellow"/>
                <w:rtl w:val="false"/>
              </w:rPr>
              <w:t xml:space="preserve">]</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2</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3</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r>
    </w:tbl>
    <w:p>
      <w:pPr>
        <w:bidi w:val="false"/>
      </w:pPr>
    </w:p>
    <w:p>
      <w:pPr>
        <w:pStyle w:val="Heading1"/>
        <w:pageBreakBefore/>
        <w:bidi w:val="false"/>
      </w:pPr>
      <w:r>
        <w:rPr>
          <w:rtl w:val="false"/>
        </w:rPr>
        <w:t xml:space="preserve">About this template</w:t>
      </w:r>
    </w:p>
    <w:p>
      <w:pPr>
        <w:bidi w:val="false"/>
      </w:pPr>
      <w:r>
        <w:rPr>
          <w:rtl w:val="false"/>
        </w:rPr>
        <w:t xml:space="preserve">This is a template, not legal advice. It does not create a lawyer–client relationship. Court rules, regulator guidance and laws change; check the official sources linked and have the contract reviewed by qualified counsel in each relevant jurisdiction. Last reviewed: 22 October 2026. Have it reviewed by a lawyer licensed in your jurisdiction before use. Where an official form or platform is mandatory, it prevails.</w:t>
      </w:r>
    </w:p>
    <w:p>
      <w:pPr>
        <w:bidi w:val="false"/>
      </w:pPr>
      <w:r>
        <w:rPr>
          <w:b/>
          <w:bCs/>
          <w:rtl w:val="false"/>
        </w:rPr>
        <w:t xml:space="preserve">How we prepared this template:</w:t>
      </w:r>
      <w:r>
        <w:rPr>
          <w:rtl w:val="false"/>
        </w:rPr>
        <w:t xml:space="preserve"> we drafted it from the official legislation and government platforms listed under Sources, and checked each legal statement against the official text on the review date. Where an official form or platform exists, we link to it and you should use it. Laws change; check the sources before use and have the final text reviewed by a licensed lawyer.</w:t>
      </w:r>
    </w:p>
    <w:p>
      <w:pPr>
        <w:bidi w:val="false"/>
      </w:pPr>
      <w:r>
        <w:rPr>
          <w:rtl w:val="false"/>
        </w:rPr>
        <w:t xml:space="preserve">The text of this page and the .docx downloads are licensed under </w:t>
      </w:r>
      <w:hyperlink w:history="1" r:id="rIdzsllkmljncxyl3ddva2xc">
        <w:r>
          <w:rPr>
            <w:rStyle w:val="Hyperlink"/>
            <w:rtl w:val="false"/>
          </w:rPr>
          <w:t xml:space="preserve">Creative Commons Attribution 4.0 International (CC BY 4.0)</w:t>
        </w:r>
      </w:hyperlink>
      <w:r>
        <w:rPr>
          <w:rtl w:val="false"/>
        </w:rPr>
        <w:t xml:space="preserve">. The Qanu name and logo are not covered by the licence.</w:t>
      </w:r>
    </w:p>
    <w:p>
      <w:pPr>
        <w:bidi w:val="false"/>
      </w:pPr>
      <w:r>
        <w:rPr>
          <w:rtl w:val="false"/>
        </w:rPr>
        <w:t xml:space="preserve">Source: https://www.qanu.ai/en/templates/statement-of-defence · Last reviewed: 22 October 2026 · Not legal advice · CC BY 4.0</w:t>
      </w:r>
    </w:p>
    <w:p>
      <w:pPr>
        <w:pStyle w:val="Heading2"/>
        <w:bidi w:val="false"/>
      </w:pPr>
      <w:r>
        <w:rPr>
          <w:rtl w:val="false"/>
        </w:rPr>
        <w:t xml:space="preserve">Sources</w:t>
      </w:r>
    </w:p>
    <w:p>
      <w:pPr>
        <w:bidi w:val="false"/>
        <w:ind w:start="360" w:hanging="360"/>
      </w:pPr>
      <w:r>
        <w:rPr>
          <w:sz w:val="18"/>
          <w:szCs w:val="18"/>
          <w:rtl w:val="false"/>
        </w:rPr>
        <w:t xml:space="preserve">[1] Bureau of Experts, Commercial Courts Law </w:t>
      </w:r>
      <w:hyperlink w:history="1" r:id="rId6-d0ootldgzbglduxlwbx">
        <w:r>
          <w:rPr>
            <w:rStyle w:val="Hyperlink"/>
            <w:sz w:val="16"/>
            <w:szCs w:val="16"/>
          </w:rPr>
          <w:t xml:space="preserve">https://laws.boe.gov.sa/BoeLaws/Laws/LawDetails/38334008-3b70-4c6c-b3af-aba3016a8061/1</w:t>
        </w:r>
      </w:hyperlink>
    </w:p>
    <w:p>
      <w:pPr>
        <w:bidi w:val="false"/>
        <w:ind w:start="360" w:hanging="360"/>
      </w:pPr>
      <w:r>
        <w:rPr>
          <w:sz w:val="18"/>
          <w:szCs w:val="18"/>
          <w:rtl w:val="false"/>
        </w:rPr>
        <w:t xml:space="preserve">[2] Bureau of Experts, Law of Procedure before Sharia Courts </w:t>
      </w:r>
      <w:hyperlink w:history="1" r:id="rIdk4gdoitn7iw3wndddhqcb">
        <w:r>
          <w:rPr>
            <w:rStyle w:val="Hyperlink"/>
            <w:sz w:val="16"/>
            <w:szCs w:val="16"/>
          </w:rPr>
          <w:t xml:space="preserve">https://laws.boe.gov.sa/BoeLaws/Laws/LawDetails/f0eaae46-9f84-40ee-815e-a9a700f268b3/1</w:t>
        </w:r>
      </w:hyperlink>
    </w:p>
    <w:p>
      <w:pPr>
        <w:bidi w:val="false"/>
        <w:ind w:start="360" w:hanging="360"/>
      </w:pPr>
      <w:r>
        <w:rPr>
          <w:sz w:val="18"/>
          <w:szCs w:val="18"/>
          <w:rtl w:val="false"/>
        </w:rPr>
        <w:t xml:space="preserve">[3] Bureau of Experts, Law of Evidence </w:t>
      </w:r>
      <w:hyperlink w:history="1" r:id="rIdwa1pl3h2dk8xr678u_6bd">
        <w:r>
          <w:rPr>
            <w:rStyle w:val="Hyperlink"/>
            <w:sz w:val="16"/>
            <w:szCs w:val="16"/>
          </w:rPr>
          <w:t xml:space="preserve">https://laws.boe.gov.sa/BoeLaws/Laws/LawDetails/2716057c-c097-4bad-8e1e-ae1400c678d5/1</w:t>
        </w:r>
      </w:hyperlink>
    </w:p>
    <w:sectPr>
      <w:headerReference w:type="default" r:id="rId7"/>
      <w:headerReference w:type="first" r:id="rId8"/>
      <w:footerReference w:type="default" r:id="rId9"/>
      <w:footerReference w:type="first" r:id="rId10"/>
      <w:pgSz w:w="11906" w:h="16838" w:orient="portrait"/>
      <w:pgMar w:top="1300" w:right="1200" w:bottom="1100" w:left="1200" w:header="500" w:footer="500" w:gutter="0"/>
      <w:pgNumType/>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Q" w:author="Qanu" w:date="2026-10-22T00:00:00.000Z">
    <w:p>
      <w:pPr>
        <w:bidi w:val="false"/>
      </w:pPr>
      <w:r>
        <w:rPr>
          <w:b/>
          <w:bCs/>
          <w:rtl w:val="false"/>
        </w:rPr>
        <w:t xml:space="preserve">Drafting note</w:t>
      </w:r>
    </w:p>
    <w:p>
      <w:pPr>
        <w:bidi w:val="false"/>
      </w:pPr>
      <w:r>
        <w:rPr>
          <w:rtl w:val="false"/>
        </w:rPr>
        <w:t xml:space="preserve">Delete “criminal”. This memorandum is not prepared for a criminal case.</w:t>
      </w:r>
    </w:p>
  </w:comment>
  <w:comment w:id="1" w:initials="Q" w:author="Qanu" w:date="2026-10-22T00:00:00.000Z">
    <w:p>
      <w:pPr>
        <w:bidi w:val="false"/>
      </w:pPr>
      <w:r>
        <w:rPr>
          <w:b/>
          <w:bCs/>
          <w:rtl w:val="false"/>
        </w:rPr>
        <w:t xml:space="preserve">Drafting note</w:t>
      </w:r>
    </w:p>
    <w:p>
      <w:pPr>
        <w:bidi w:val="false"/>
      </w:pPr>
      <w:r>
        <w:rPr>
          <w:rtl w:val="false"/>
        </w:rPr>
        <w:t xml:space="preserve">If an attorney appears, attach a power that is in force and covers advocacy. Draft the powers with the </w:t>
      </w:r>
      <w:hyperlink w:history="1" r:id="rIdhanmbhdyraohzkpkxuekv">
        <w:r>
          <w:rPr>
            <w:rStyle w:val="Hyperlink"/>
            <w:rtl w:val="false"/>
          </w:rPr>
          <w:t xml:space="preserve">power of attorney template</w:t>
        </w:r>
      </w:hyperlink>
      <w:r>
        <w:rPr>
          <w:rtl w:val="false"/>
        </w:rPr>
        <w:t xml:space="preserve">.</w:t>
      </w:r>
    </w:p>
  </w:comment>
  <w:comment w:id="2" w:initials="Q" w:author="Qanu" w:date="2026-10-22T00:00:00.000Z">
    <w:p>
      <w:pPr>
        <w:bidi w:val="false"/>
      </w:pPr>
      <w:r>
        <w:rPr>
          <w:b/>
          <w:bCs/>
          <w:rtl w:val="false"/>
        </w:rPr>
        <w:t xml:space="preserve">Drafting note</w:t>
      </w:r>
    </w:p>
    <w:p>
      <w:pPr>
        <w:bidi w:val="false"/>
      </w:pPr>
      <w:r>
        <w:rPr>
          <w:rtl w:val="false"/>
        </w:rPr>
        <w:t xml:space="preserve">These pleas come before any request or defence, or they are waived.</w:t>
      </w:r>
      <w:r>
        <w:rPr>
          <w:rtl w:val="false"/>
        </w:rPr>
        <w:t xml:space="preserve"> [2]</w:t>
      </w:r>
      <w:r>
        <w:rPr>
          <w:rtl w:val="false"/>
        </w:rPr>
        <w:t xml:space="preserve"> A plea that the commercial court lacks subject-matter jurisdiction is read in the Commercial Courts Law. This page states no article number and no time for the court to decide it.</w:t>
      </w:r>
      <w:r>
        <w:rPr>
          <w:rtl w:val="false"/>
        </w:rPr>
        <w:t xml:space="preserve"> [1]</w:t>
      </w:r>
    </w:p>
  </w:comment>
  <w:comment w:id="3" w:initials="Q" w:author="Qanu" w:date="2026-10-22T00:00:00.000Z">
    <w:p>
      <w:pPr>
        <w:bidi w:val="false"/>
      </w:pPr>
      <w:r>
        <w:rPr>
          <w:b/>
          <w:bCs/>
          <w:rtl w:val="false"/>
        </w:rPr>
        <w:t xml:space="preserve">Drafting note</w:t>
      </w:r>
    </w:p>
    <w:p>
      <w:pPr>
        <w:bidi w:val="false"/>
      </w:pPr>
      <w:r>
        <w:rPr>
          <w:rtl w:val="false"/>
        </w:rPr>
        <w:t xml:space="preserve">Where a Saudi text says the claim is not heard, say that. Do not write that it is time-barred if the statute uses the other formula. See </w:t>
      </w:r>
      <w:hyperlink w:history="1" r:id="rIdg3n5tgpfp0ocivi7gowga">
        <w:r>
          <w:rPr>
            <w:rStyle w:val="Hyperlink"/>
            <w:rtl w:val="false"/>
          </w:rPr>
          <w:t xml:space="preserve">statute of limitations</w:t>
        </w:r>
      </w:hyperlink>
      <w:r>
        <w:rPr>
          <w:rtl w:val="false"/>
        </w:rPr>
        <w:t xml:space="preserve">. The prior notice may be the </w:t>
      </w:r>
      <w:hyperlink w:history="1" r:id="rIdyna7d2a5auoxlg05hswjf">
        <w:r>
          <w:rPr>
            <w:rStyle w:val="Hyperlink"/>
            <w:rtl w:val="false"/>
          </w:rPr>
          <w:t xml:space="preserve">legal notice</w:t>
        </w:r>
      </w:hyperlink>
      <w:r>
        <w:rPr>
          <w:rtl w:val="false"/>
        </w:rPr>
        <w:t xml:space="preserve"> or a notice of default.</w:t>
      </w:r>
    </w:p>
  </w:comment>
  <w:comment w:id="4" w:initials="Q" w:author="Qanu" w:date="2026-10-22T00:00:00.000Z">
    <w:p>
      <w:pPr>
        <w:bidi w:val="false"/>
      </w:pPr>
      <w:r>
        <w:rPr>
          <w:b/>
          <w:bCs/>
          <w:rtl w:val="false"/>
        </w:rPr>
        <w:t xml:space="preserve">Drafting note</w:t>
      </w:r>
    </w:p>
    <w:p>
      <w:pPr>
        <w:bidi w:val="false"/>
      </w:pPr>
      <w:r>
        <w:rPr>
          <w:rtl w:val="false"/>
        </w:rPr>
        <w:t xml:space="preserve">One reply for each paragraph of the claim. Do not fold the facts into a single block.</w:t>
      </w:r>
    </w:p>
  </w:comment>
  <w:comment w:id="5" w:initials="Q" w:author="Qanu" w:date="2026-10-22T00:00:00.000Z">
    <w:p>
      <w:pPr>
        <w:bidi w:val="false"/>
      </w:pPr>
      <w:r>
        <w:rPr>
          <w:b/>
          <w:bCs/>
          <w:rtl w:val="false"/>
        </w:rPr>
        <w:t xml:space="preserve">Drafting note</w:t>
      </w:r>
    </w:p>
    <w:p>
      <w:pPr>
        <w:bidi w:val="false"/>
      </w:pPr>
      <w:r>
        <w:rPr>
          <w:rtl w:val="false"/>
        </w:rPr>
        <w:t xml:space="preserve">The burden of proof is on the claimant, and disproof on the defendant.</w:t>
      </w:r>
      <w:r>
        <w:rPr>
          <w:rtl w:val="false"/>
        </w:rPr>
        <w:t xml:space="preserve"> [3]</w:t>
      </w:r>
      <w:r>
        <w:rPr>
          <w:rtl w:val="false"/>
        </w:rPr>
        <w:t xml:space="preserve"> The defendant takes the decisive oath to defeat the claim, and may refer it back.</w:t>
      </w:r>
      <w:r>
        <w:rPr>
          <w:rtl w:val="false"/>
        </w:rPr>
        <w:t xml:space="preserve"> [3]</w:t>
      </w:r>
    </w:p>
  </w:comment>
  <w:comment w:id="6" w:initials="Q" w:author="Qanu" w:date="2026-10-22T00:00:00.000Z">
    <w:p>
      <w:pPr>
        <w:bidi w:val="false"/>
      </w:pPr>
      <w:r>
        <w:rPr>
          <w:b/>
          <w:bCs/>
          <w:rtl w:val="false"/>
        </w:rPr>
        <w:t xml:space="preserve">Drafting note</w:t>
      </w:r>
    </w:p>
    <w:p>
      <w:pPr>
        <w:bidi w:val="false"/>
      </w:pPr>
      <w:r>
        <w:rPr>
          <w:rtl w:val="false"/>
        </w:rPr>
        <w:t xml:space="preserve">Do not add a counterclaim to delay the hearing. State its ground or delete the paragraph.</w:t>
      </w:r>
    </w:p>
  </w:comment>
  <w:comment w:id="7" w:initials="Q" w:author="Qanu" w:date="2026-10-22T00:00:00.000Z">
    <w:p>
      <w:pPr>
        <w:bidi w:val="false"/>
      </w:pPr>
      <w:r>
        <w:rPr>
          <w:b/>
          <w:bCs/>
          <w:rtl w:val="false"/>
        </w:rPr>
        <w:t xml:space="preserve">Drafting note</w:t>
      </w:r>
    </w:p>
    <w:p>
      <w:pPr>
        <w:bidi w:val="false"/>
      </w:pPr>
      <w:r>
        <w:rPr>
          <w:rtl w:val="false"/>
        </w:rPr>
        <w:t xml:space="preserve">A sham or vexatious claim is dismissed, and a discretionary penalty may be imposed.</w:t>
      </w:r>
      <w:r>
        <w:rPr>
          <w:rtl w:val="false"/>
        </w:rPr>
        <w:t xml:space="preserve"> [2]</w:t>
      </w:r>
      <w:r>
        <w:rPr>
          <w:rtl w:val="false"/>
        </w:rPr>
        <w:t xml:space="preserve"> Do not ask for that penalty as a stock phrase. State why the claim is vexatious, or delete the request. See </w:t>
      </w:r>
      <w:hyperlink w:history="1" r:id="rIdx6laf0ypwajkhd18mvrxc">
        <w:r>
          <w:rPr>
            <w:rStyle w:val="Hyperlink"/>
            <w:rtl w:val="false"/>
          </w:rPr>
          <w:t xml:space="preserve">appeal</w:t>
        </w:r>
      </w:hyperlink>
      <w:r>
        <w:rPr>
          <w:rtl w:val="false"/>
        </w:rPr>
        <w:t xml:space="preserve"> and </w:t>
      </w:r>
      <w:hyperlink w:history="1" r:id="rId64f6omnzlejtmjoqde_wr">
        <w:r>
          <w:rPr>
            <w:rStyle w:val="Hyperlink"/>
            <w:rtl w:val="false"/>
          </w:rPr>
          <w:t xml:space="preserve">cassation</w:t>
        </w:r>
      </w:hyperlink>
      <w:r>
        <w:rPr>
          <w:rtl w:val="false"/>
        </w:rPr>
        <w:t xml:space="preserve"> if the memorandum answers a judgment rather than a claim.</w:t>
      </w:r>
    </w:p>
  </w:comment>
  <w:comment w:id="8" w:initials="Q" w:author="Qanu" w:date="2026-10-22T00:00:00.000Z">
    <w:p>
      <w:pPr>
        <w:bidi w:val="false"/>
      </w:pPr>
      <w:r>
        <w:rPr>
          <w:b/>
          <w:bCs/>
          <w:rtl w:val="false"/>
        </w:rPr>
        <w:t xml:space="preserve">Drafting note</w:t>
      </w:r>
    </w:p>
    <w:p>
      <w:pPr>
        <w:bidi w:val="false"/>
      </w:pPr>
      <w:r>
        <w:rPr>
          <w:rtl w:val="false"/>
        </w:rPr>
        <w:t xml:space="preserve">Saudi commercial court: at least one day before the hearing, except urgent applications.</w:t>
      </w:r>
      <w:r>
        <w:rPr>
          <w:rtl w:val="false"/>
        </w:rPr>
        <w:t xml:space="preserve"> [1]</w:t>
      </w:r>
      <w:r>
        <w:rPr>
          <w:rtl w:val="false"/>
        </w:rPr>
        <w:t xml:space="preserve"> General court: three days. Other courts: one day.</w:t>
      </w:r>
      <w:r>
        <w:rPr>
          <w:rtl w:val="false"/>
        </w:rPr>
        <w:t xml:space="preserve"> [2]</w:t>
      </w:r>
      <w:r>
        <w:rPr>
          <w:rtl w:val="false"/>
        </w:rPr>
        <w:t xml:space="preserve"> Filing deadlines in the UAE, Bahrain, Qatar, Kuwait and Oman were not checked by article number.</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pPr>
    <w:r>
      <w:rPr>
        <w:color w:val="555555"/>
        <w:sz w:val="16"/>
        <w:szCs w:val="16"/>
        <w:rtl w:val="false"/>
      </w:rPr>
      <w:t xml:space="preserve">CC BY 4.0 · Page </w:t>
    </w:r>
    <w:r>
      <w:rPr>
        <w:color w:val="555555"/>
        <w:sz w:val="16"/>
        <w:szCs w:val="16"/>
        <w:rtl w:val="false"/>
      </w:rPr>
      <w:fldChar w:fldCharType="begin"/>
    </w:r>
    <w:r>
      <w:rPr>
        <w:color w:val="555555"/>
        <w:sz w:val="16"/>
        <w:szCs w:val="16"/>
        <w:rtl w:val="false"/>
      </w:rPr>
      <w:instrText xml:space="preserve">PAGE</w:instrText>
    </w:r>
    <w:r>
      <w:rPr>
        <w:color w:val="555555"/>
        <w:sz w:val="16"/>
        <w:szCs w:val="16"/>
        <w:rtl w:val="false"/>
      </w:rPr>
      <w:fldChar w:fldCharType="separate"/>
    </w:r>
    <w:r>
      <w:rPr>
        <w:color w:val="555555"/>
        <w:sz w:val="16"/>
        <w:szCs w:val="16"/>
        <w:rtl w:val="false"/>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pPr>
    <w:r>
      <w:rPr>
        <w:color w:val="555555"/>
        <w:sz w:val="16"/>
        <w:szCs w:val="16"/>
        <w:rtl w:val="false"/>
      </w:rPr>
      <w:t xml:space="preserve">CC BY 4.0 · Page </w:t>
    </w:r>
    <w:r>
      <w:rPr>
        <w:color w:val="555555"/>
        <w:sz w:val="16"/>
        <w:szCs w:val="16"/>
        <w:rtl w:val="false"/>
      </w:rPr>
      <w:fldChar w:fldCharType="begin"/>
    </w:r>
    <w:r>
      <w:rPr>
        <w:color w:val="555555"/>
        <w:sz w:val="16"/>
        <w:szCs w:val="16"/>
        <w:rtl w:val="false"/>
      </w:rPr>
      <w:instrText xml:space="preserve">PAGE</w:instrText>
    </w:r>
    <w:r>
      <w:rPr>
        <w:color w:val="555555"/>
        <w:sz w:val="16"/>
        <w:szCs w:val="16"/>
        <w:rtl w:val="false"/>
      </w:rPr>
      <w:fldChar w:fldCharType="separate"/>
    </w:r>
    <w:r>
      <w:rPr>
        <w:color w:val="555555"/>
        <w:sz w:val="16"/>
        <w:szCs w:val="16"/>
        <w:rtl w:val="false"/>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pPr>
    <w:r>
      <w:rPr>
        <w:color w:val="555555"/>
        <w:sz w:val="16"/>
        <w:szCs w:val="16"/>
        <w:rtl w:val="false"/>
      </w:rPr>
      <w:t xml:space="preserve">Template – not legal advice – Qanu – last reviewed 22 October 2026 – https://www.qanu.ai/en/templates/statement-of-defence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BBBBB" w:sz="4" w:space="4"/>
      </w:pBdr>
      <w:bidi w:val="false"/>
    </w:pPr>
    <w:r>
      <w:rPr>
        <w:color w:val="555555"/>
        <w:sz w:val="16"/>
        <w:szCs w:val="16"/>
        <w:rtl w:val="false"/>
      </w:rPr>
      <w:t xml:space="preserve">Template – not legal advice – Qanu – last reviewed 22 October 2026 – https://www.qanu.ai/en/templates/statement-of-defence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start="360" w:hanging="260"/>
      </w:pPr>
    </w:lvl>
    <w:lvl w:ilvl="1" w:tentative="1">
      <w:start w:val="1"/>
      <w:numFmt w:val="bullet"/>
      <w:lvlText w:val="◦"/>
      <w:lvlJc w:val="left"/>
      <w:pPr>
        <w:ind w:start="900" w:hanging="260"/>
      </w:pPr>
    </w:lvl>
  </w:abstractNum>
  <w:num w:numId="1">
    <w:abstractNumId w:val="1"/>
    <w:lvlOverride w:ilvl="0">
      <w:startOverride w:val="1"/>
    </w:lvlOverride>
  </w:num>
  <w:num w:numId="2">
    <w:abstractNumId w:val="2"/>
    <w:lvlOverride w:ilvl="0">
      <w:startOverride w:val="1"/>
    </w:lvlOverride>
    <w:lvlOverride w:ilvl="1">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IBM Plex Sans Arabic" w:eastAsia="Calibri" w:hAnsi="Calibri"/>
        <w:sz w:val="21"/>
        <w:szCs w:val="21"/>
        <w:lang w:val="en-GB" w:bidi="ar-SA"/>
      </w:rPr>
    </w:rPrDefault>
    <w:pPrDefault>
      <w:pPr>
        <w:spacing w:after="120"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120" w:line="240" w:lineRule="auto"/>
    </w:pPr>
    <w:rPr>
      <w:rFonts w:ascii="Calibri" w:cs="IBM Plex Sans Arabic" w:eastAsia="Calibri" w:hAnsi="Calibri"/>
      <w:b/>
      <w:bCs/>
      <w:color w:val="111111"/>
      <w:sz w:val="36"/>
      <w:szCs w:val="36"/>
    </w:rPr>
  </w:style>
  <w:style w:type="paragraph" w:styleId="Heading1">
    <w:name w:val="Heading 1"/>
    <w:basedOn w:val="Normal"/>
    <w:next w:val="Normal"/>
    <w:qFormat/>
    <w:pPr>
      <w:keepNext/>
      <w:spacing w:after="120" w:before="320"/>
    </w:pPr>
    <w:rPr>
      <w:rFonts w:ascii="Calibri" w:cs="IBM Plex Sans Arabic" w:eastAsia="Calibri" w:hAnsi="Calibri"/>
      <w:b/>
      <w:bCs/>
      <w:color w:val="111111"/>
      <w:sz w:val="26"/>
      <w:szCs w:val="26"/>
    </w:rPr>
  </w:style>
  <w:style w:type="paragraph" w:styleId="Heading2">
    <w:name w:val="Heading 2"/>
    <w:basedOn w:val="Normal"/>
    <w:next w:val="Normal"/>
    <w:qFormat/>
    <w:pPr>
      <w:keepNext/>
      <w:spacing w:after="120" w:before="240"/>
    </w:pPr>
    <w:rPr>
      <w:rFonts w:ascii="Calibri" w:cs="IBM Plex Sans Arabic" w:eastAsia="Calibri" w:hAnsi="Calibri"/>
      <w:b/>
      <w:bCs/>
      <w:color w:val="111111"/>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F4E9E"/>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Relationship Id="rIdhanmbhdyraohzkpkxuekv" Type="http://schemas.openxmlformats.org/officeDocument/2006/relationships/hyperlink" Target="https://www.qanu.ai/en/templates/power-of-attorney" TargetMode="External"/><Relationship Id="rIdg3n5tgpfp0ocivi7gowga" Type="http://schemas.openxmlformats.org/officeDocument/2006/relationships/hyperlink" Target="https://www.qanu.ai/en/glossary/statute-of-limitations" TargetMode="External"/><Relationship Id="rIdyna7d2a5auoxlg05hswjf" Type="http://schemas.openxmlformats.org/officeDocument/2006/relationships/hyperlink" Target="https://www.qanu.ai/en/templates/legal-notice" TargetMode="External"/><Relationship Id="rIdx6laf0ypwajkhd18mvrxc" Type="http://schemas.openxmlformats.org/officeDocument/2006/relationships/hyperlink" Target="https://www.qanu.ai/en/glossary/appeal" TargetMode="External"/><Relationship Id="rId64f6omnzlejtmjoqde_wr" Type="http://schemas.openxmlformats.org/officeDocument/2006/relationships/hyperlink" Target="https://www.qanu.ai/en/glossary/cassation"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theme" Target="theme/theme1.xml"/><Relationship Id="rIdc67_ofuvfxjmeisrwf-a4" Type="http://schemas.openxmlformats.org/officeDocument/2006/relationships/hyperlink" Target="https://laws.boe.gov.sa/BoeLaws/Laws/LawDetails/38334008-3b70-4c6c-b3af-aba3016a8061/1" TargetMode="External"/><Relationship Id="rId041zaf0mqnok2p7l7umcw" Type="http://schemas.openxmlformats.org/officeDocument/2006/relationships/hyperlink" Target="https://laws.boe.gov.sa/BoeLaws/Laws/LawDetails/f0eaae46-9f84-40ee-815e-a9a700f268b3/1" TargetMode="External"/><Relationship Id="rId6ieexboufhgnj512sf41e" Type="http://schemas.openxmlformats.org/officeDocument/2006/relationships/hyperlink" Target="https://laws.boe.gov.sa/BoeLaws/Laws/LawDetails/2716057c-c097-4bad-8e1e-ae1400c678d5/1" TargetMode="External"/><Relationship Id="rIdx7cdqnph0hezefnvouxqs" Type="http://schemas.openxmlformats.org/officeDocument/2006/relationships/hyperlink" Target="https://www.qanu.ai/en/templates/statement-of-claim" TargetMode="External"/><Relationship Id="rIdzsllkmljncxyl3ddva2xc" Type="http://schemas.openxmlformats.org/officeDocument/2006/relationships/hyperlink" Target="https://creativecommons.org/licenses/by/4.0/deed.en" TargetMode="External"/><Relationship Id="rId6-d0ootldgzbglduxlwbx" Type="http://schemas.openxmlformats.org/officeDocument/2006/relationships/hyperlink" Target="https://laws.boe.gov.sa/BoeLaws/Laws/LawDetails/38334008-3b70-4c6c-b3af-aba3016a8061/1" TargetMode="External"/><Relationship Id="rIdk4gdoitn7iw3wndddhqcb" Type="http://schemas.openxmlformats.org/officeDocument/2006/relationships/hyperlink" Target="https://laws.boe.gov.sa/BoeLaws/Laws/LawDetails/f0eaae46-9f84-40ee-815e-a9a700f268b3/1" TargetMode="External"/><Relationship Id="rIdwa1pl3h2dk8xr678u_6bd" Type="http://schemas.openxmlformats.org/officeDocument/2006/relationships/hyperlink" Target="https://laws.boe.gov.sa/BoeLaws/Laws/LawDetails/2716057c-c097-4bad-8e1e-ae1400c678d5/1" TargetMode="External"/><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defence template</dc:title>
  <dc:creator>Qanu</dc:creator>
  <cp:keywords>Statement of defence, Reply memorandum, Pleas, GCC</cp:keywords>
  <dc:description>This is a template, not legal advice. It does not create a lawyer–client relationship. Court rules, regulator guidance and laws change; check the official sources linked and have the contract reviewed by qualified counsel in each relevant jurisdiction. Last reviewed: 22 October 2026. Have it reviewed by a lawyer licensed in your jurisdiction before use. Where an official form or platform is mandatory, it prevails.</dc:description>
  <cp:lastModifiedBy>Qanu</cp:lastModifiedBy>
  <cp:revision>1</cp:revision>
  <dcterms:created xsi:type="dcterms:W3CDTF">2026-10-21T21:23:25.238Z</dcterms:created>
  <dcterms:modified xsi:type="dcterms:W3CDTF">2026-10-21T21:23:25.238Z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cense">
    <vt:lpwstr>https://creativecommons.org/licenses/by/4.0/</vt:lpwstr>
  </property>
  <property fmtid="{D5CDD505-2E9C-101B-9397-08002B2CF9AE}" pid="3" name="Source">
    <vt:lpwstr>https://www.qanu.ai/en/templates/statement-of-defence</vt:lpwstr>
  </property>
</Properties>
</file>