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المقاول الرئيسي يبقى مسؤولاً أمام صاحب العمل.</w:t>
      </w:r>
      <w:r>
        <w:rPr>
          <w:rtl/>
        </w:rPr>
        <w:t xml:space="preserve"> يجوز للمقاول أن يعهد بكل العمل أو بعضه إلى مقاول من الباطن ما لم يمنع النظام أو العقد أو طبيعة العمل أو كفاية المقاول الشخصية، ويبقى مسؤولاً أمام صاحب العمل.</w:t>
      </w:r>
      <w:r>
        <w:rPr>
          <w:rtl/>
        </w:rPr>
        <w:t xml:space="preserve"> [1]</w:t>
      </w:r>
      <w:r>
        <w:rPr>
          <w:rtl/>
        </w:rPr>
        <w:t xml:space="preserve"> ولا يكون لمقاول الباطن دعوى مباشرة على صاحب العمل إلا إذا حوّل المقاول الرئيسي الحق إليه.</w:t>
      </w:r>
      <w:r>
        <w:rPr>
          <w:rtl/>
        </w:rPr>
        <w:t xml:space="preserve"> [1]</w:t>
      </w:r>
      <w:r>
        <w:rPr>
          <w:rtl/>
        </w:rPr>
        <w:t xml:space="preserve"> وإذا طرأت ظروف استثنائية عامة يجوز طلب إعادة التوازن.</w:t>
      </w:r>
      <w:r>
        <w:rPr>
          <w:rtl/>
        </w:rPr>
        <w:t xml:space="preserve"> [1]</w:t>
      </w:r>
      <w:r>
        <w:rPr>
          <w:rtl/>
        </w:rPr>
        <w:t xml:space="preserve"> وفي الإمارات نص التعاقد من الباطن في قانون المعاملات المدنية النافذ قيد المراجعة، بلا رقم مادة.</w:t>
      </w:r>
      <w:r>
        <w:rPr>
          <w:rtl/>
        </w:rPr>
        <w:t xml:space="preserve"> [2]</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hxf7alc111xbocfoer5vv">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المعاملات المدنية الإماراتي: </w:t>
      </w:r>
      <w:hyperlink w:history="1" r:id="rId2jfmft9ucmtwejwbhmc8i">
        <w:r>
          <w:rPr>
            <w:rStyle w:val="Hyperlink"/>
            <w:sz w:val="17"/>
            <w:szCs w:val="17"/>
          </w:rPr>
          <w:t xml:space="preserve">‪https://uaelegislation.gov.ae/en/legislations/4011‬</w:t>
        </w:r>
      </w:hyperlink>
    </w:p>
    <w:p>
      <w:pPr>
        <w:bidi/>
        <w:spacing w:after="240"/>
      </w:pPr>
    </w:p>
    <w:p>
      <w:pPr>
        <w:pStyle w:val="Title"/>
        <w:bidi/>
      </w:pPr>
      <w:r>
        <w:rPr>
          <w:rtl/>
        </w:rPr>
        <w:t xml:space="preserve">عقد مقاولة من الباطن</w:t>
      </w:r>
    </w:p>
    <w:p>
      <w:pPr>
        <w:bidi/>
        <w:spacing w:after="240"/>
      </w:pPr>
      <w:r>
        <w:rPr>
          <w:color w:val="444444"/>
          <w:rtl/>
        </w:rPr>
        <w:t xml:space="preserve">بين المقاول الرئيسي ومقاول الباطن في دول الخليج.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ما لا ينطبق. هذه نقطة انطلاق، وتُراجع من محامٍ مرخّص في الدولة المعنية قبل الاستعمال.</w:t>
      </w:r>
    </w:p>
    <w:p>
      <w:pPr>
        <w:pStyle w:val="Heading1"/>
        <w:bidi/>
      </w:pPr>
      <w:r>
        <w:rPr>
          <w:rtl/>
        </w:rPr>
        <w:t xml:space="preserve">البند (1): الأطراف والعقد الرئيسي</w:t>
      </w:r>
    </w:p>
    <w:p>
      <w:pPr>
        <w:bidi/>
      </w:pPr>
      <w:r>
        <w:rPr>
          <w:rtl/>
        </w:rPr>
        <w:t xml:space="preserve">حُرر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المقاول الرئيسي</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(«الرئيسي»)، و</w:t>
      </w:r>
      <w:r>
        <w:rPr>
          <w:highlight w:val="yellow"/>
          <w:rtl/>
        </w:rPr>
        <w:t xml:space="preserve">[</w:t>
      </w:r>
      <w:r>
        <w:rPr>
          <w:highlight w:val="yellow"/>
          <w:rtl/>
        </w:rPr>
        <w:t xml:space="preserve">مقاول الباطن</w:t>
      </w:r>
      <w:r>
        <w:rPr>
          <w:highlight w:val="yellow"/>
          <w:rtl/>
        </w:rPr>
        <w:t xml:space="preserve">]</w:t>
      </w:r>
      <w:r>
        <w:rPr>
          <w:rtl/>
        </w:rPr>
        <w:t xml:space="preserve">، سجل </w:t>
      </w:r>
      <w:r>
        <w:rPr>
          <w:highlight w:val="yellow"/>
          <w:rtl/>
        </w:rPr>
        <w:t xml:space="preserve">[</w:t>
      </w:r>
      <w:r>
        <w:rPr>
          <w:highlight w:val="yellow"/>
          <w:rtl/>
        </w:rPr>
        <w:t xml:space="preserve">●</w:t>
      </w:r>
      <w:r>
        <w:rPr>
          <w:highlight w:val="yellow"/>
          <w:rtl/>
        </w:rPr>
        <w:t xml:space="preserve">]</w:t>
      </w:r>
      <w:r>
        <w:rPr>
          <w:rtl/>
        </w:rPr>
        <w:t xml:space="preserve"> («الباطن»). والعقد الرئيسي بين الرئيسي و</w:t>
      </w:r>
      <w:r>
        <w:rPr>
          <w:highlight w:val="yellow"/>
          <w:rtl/>
        </w:rPr>
        <w:t xml:space="preserve">[</w:t>
      </w:r>
      <w:r>
        <w:rPr>
          <w:highlight w:val="yellow"/>
          <w:rtl/>
        </w:rPr>
        <w:t xml:space="preserve">صاحب العمل / المالك</w:t>
      </w:r>
      <w:r>
        <w:rPr>
          <w:highlight w:val="yellow"/>
          <w:rtl/>
        </w:rPr>
        <w:t xml:space="preserve">]</w:t>
      </w:r>
      <w:r>
        <w:rPr>
          <w:rtl/>
        </w:rPr>
        <w:t xml:space="preserve"> بتاريخ </w:t>
      </w:r>
      <w:r>
        <w:rPr>
          <w:highlight w:val="yellow"/>
          <w:rtl/>
        </w:rPr>
        <w:t xml:space="preserve">[</w:t>
      </w:r>
      <w:r>
        <w:rPr>
          <w:highlight w:val="yellow"/>
          <w:rtl/>
        </w:rPr>
        <w:t xml:space="preserve">●</w:t>
      </w:r>
      <w:r>
        <w:rPr>
          <w:highlight w:val="yellow"/>
          <w:rtl/>
        </w:rPr>
        <w:t xml:space="preserve">]</w:t>
      </w:r>
      <w:r>
        <w:rPr>
          <w:rtl/>
        </w:rPr>
        <w:t xml:space="preserve"> بشأن </w:t>
      </w:r>
      <w:r>
        <w:rPr>
          <w:highlight w:val="yellow"/>
          <w:rtl/>
        </w:rPr>
        <w:t xml:space="preserve">[</w:t>
      </w:r>
      <w:r>
        <w:rPr>
          <w:highlight w:val="yellow"/>
          <w:rtl/>
        </w:rPr>
        <w:t xml:space="preserve">وصف العمل</w:t>
      </w:r>
      <w:r>
        <w:rPr>
          <w:highlight w:val="yellow"/>
          <w:rtl/>
        </w:rPr>
        <w:t xml:space="preserve">]</w:t>
      </w:r>
      <w:r>
        <w:rPr>
          <w:rtl/>
        </w:rPr>
        <w:t xml:space="preserve"> («العقد الرئيسي»).</w:t>
      </w:r>
    </w:p>
    <w:p>
      <w:pPr>
        <w:pStyle w:val="Heading1"/>
        <w:bidi/>
      </w:pPr>
      <w:r>
        <w:rPr>
          <w:rtl/>
        </w:rPr>
        <w:t xml:space="preserve">البند (2): نطاق عمل الباطن</w:t>
      </w:r>
    </w:p>
    <w:p>
      <w:pPr>
        <w:bidi/>
      </w:pPr>
      <w:r>
        <w:rPr>
          <w:rtl/>
        </w:rPr>
        <w:t xml:space="preserve">ينفّذ الباطن </w:t>
      </w:r>
      <w:r>
        <w:rPr>
          <w:highlight w:val="yellow"/>
          <w:rtl/>
        </w:rPr>
        <w:t xml:space="preserve">[</w:t>
      </w:r>
      <w:r>
        <w:rPr>
          <w:highlight w:val="yellow"/>
          <w:rtl/>
        </w:rPr>
        <w:t xml:space="preserve">الجزء المعهود</w:t>
      </w:r>
      <w:r>
        <w:rPr>
          <w:highlight w:val="yellow"/>
          <w:rtl/>
        </w:rPr>
        <w:t xml:space="preserve">]</w:t>
      </w:r>
      <w:r>
        <w:rPr>
          <w:rtl/>
        </w:rPr>
        <w:t xml:space="preserve"> وفق المواصفات </w:t>
      </w:r>
      <w:r>
        <w:rPr>
          <w:highlight w:val="yellow"/>
          <w:rtl/>
        </w:rPr>
        <w:t xml:space="preserve">[</w:t>
      </w:r>
      <w:r>
        <w:rPr>
          <w:highlight w:val="yellow"/>
          <w:rtl/>
        </w:rPr>
        <w:t xml:space="preserve">●</w:t>
      </w:r>
      <w:r>
        <w:rPr>
          <w:highlight w:val="yellow"/>
          <w:rtl/>
        </w:rPr>
        <w:t xml:space="preserve">]</w:t>
      </w:r>
      <w:r>
        <w:rPr>
          <w:rtl/>
        </w:rPr>
        <w:t xml:space="preserve"> والجدول </w:t>
      </w:r>
      <w:r>
        <w:rPr>
          <w:highlight w:val="yellow"/>
          <w:rtl/>
        </w:rPr>
        <w:t xml:space="preserve">[</w:t>
      </w:r>
      <w:r>
        <w:rPr>
          <w:highlight w:val="yellow"/>
          <w:rtl/>
        </w:rPr>
        <w:t xml:space="preserve">●</w:t>
      </w:r>
      <w:r>
        <w:rPr>
          <w:highlight w:val="yellow"/>
          <w:rtl/>
        </w:rPr>
        <w:t xml:space="preserve">]</w:t>
      </w:r>
      <w:r>
        <w:rPr>
          <w:rtl/>
        </w:rPr>
        <w:t xml:space="preserve">. ويلتزم بشروط العقد الرئيسي التي تُحال صراحة في الملحق (1)، في حدود ما يجوز إفشاؤه.</w:t>
      </w:r>
    </w:p>
    <w:p>
      <w:pPr>
        <w:pStyle w:val="Heading1"/>
        <w:bidi/>
      </w:pPr>
      <w:r>
        <w:rPr>
          <w:rtl/>
        </w:rPr>
        <w:t xml:space="preserve">البند (3): السعر والدفع</w:t>
      </w:r>
    </w:p>
    <w:p>
      <w:pPr>
        <w:bidi/>
      </w:pPr>
      <w:r>
        <w:rPr>
          <w:rtl/>
        </w:rPr>
        <w:t xml:space="preserve">أتعاب الباطن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شاملة / غير شاملة</w:t>
      </w:r>
      <w:r>
        <w:rPr>
          <w:highlight w:val="yellow"/>
          <w:rtl/>
        </w:rPr>
        <w:t xml:space="preserve">]</w:t>
      </w:r>
      <w:r>
        <w:rPr>
          <w:rtl/>
        </w:rPr>
        <w:t xml:space="preserve"> ضريبة القيمة المضافة. والدفع: </w:t>
      </w:r>
      <w:r>
        <w:rPr>
          <w:highlight w:val="yellow"/>
          <w:rtl/>
        </w:rPr>
        <w:t xml:space="preserve">[</w:t>
      </w:r>
      <w:r>
        <w:rPr>
          <w:highlight w:val="yellow"/>
          <w:rtl/>
        </w:rPr>
        <w:t xml:space="preserve">●</w:t>
      </w:r>
      <w:r>
        <w:rPr>
          <w:highlight w:val="yellow"/>
          <w:rtl/>
        </w:rPr>
        <w:t xml:space="preserve">]</w:t>
      </w:r>
      <w:r>
        <w:rPr>
          <w:rtl/>
        </w:rPr>
        <w:t xml:space="preserve"> على </w:t>
      </w:r>
      <w:r>
        <w:rPr>
          <w:highlight w:val="yellow"/>
          <w:rtl/>
        </w:rPr>
        <w:t xml:space="preserve">[</w:t>
      </w:r>
      <w:r>
        <w:rPr>
          <w:highlight w:val="yellow"/>
          <w:rtl/>
        </w:rPr>
        <w:t xml:space="preserve">إنجاز مرحلة / فاتورة شهرية</w:t>
      </w:r>
      <w:r>
        <w:rPr>
          <w:highlight w:val="yellow"/>
          <w:rtl/>
        </w:rPr>
        <w:t xml:space="preserve">]</w:t>
      </w:r>
      <w:r>
        <w:rPr>
          <w:rtl/>
        </w:rPr>
        <w:t xml:space="preserve">. ولا تُثبَّت نسبة ضريبة في هذا الملف.</w:t>
      </w:r>
    </w:p>
    <w:p>
      <w:pPr>
        <w:pStyle w:val="Heading1"/>
        <w:bidi/>
      </w:pPr>
      <w:r>
        <w:rPr>
          <w:rtl/>
        </w:rPr>
        <w:t xml:space="preserve">البند (4): المدة والتسليم</w:t>
      </w:r>
    </w:p>
    <w:p>
      <w:pPr>
        <w:bidi/>
      </w:pPr>
      <w:r>
        <w:rPr>
          <w:rtl/>
        </w:rPr>
        <w:t xml:space="preserve">يبدأ العمل في </w:t>
      </w:r>
      <w:r>
        <w:rPr>
          <w:highlight w:val="yellow"/>
          <w:rtl/>
        </w:rPr>
        <w:t xml:space="preserve">[</w:t>
      </w:r>
      <w:r>
        <w:rPr>
          <w:highlight w:val="yellow"/>
          <w:rtl/>
        </w:rPr>
        <w:t xml:space="preserve">التاريخ</w:t>
      </w:r>
      <w:r>
        <w:rPr>
          <w:highlight w:val="yellow"/>
          <w:rtl/>
        </w:rPr>
        <w:t xml:space="preserve">]</w:t>
      </w:r>
      <w:r>
        <w:rPr>
          <w:rtl/>
        </w:rPr>
        <w:t xml:space="preserve"> وينتهي في </w:t>
      </w:r>
      <w:r>
        <w:rPr>
          <w:highlight w:val="yellow"/>
          <w:rtl/>
        </w:rPr>
        <w:t xml:space="preserve">[</w:t>
      </w:r>
      <w:r>
        <w:rPr>
          <w:highlight w:val="yellow"/>
          <w:rtl/>
        </w:rPr>
        <w:t xml:space="preserve">التاريخ</w:t>
      </w:r>
      <w:r>
        <w:rPr>
          <w:highlight w:val="yellow"/>
          <w:rtl/>
        </w:rPr>
        <w:t xml:space="preserve">]</w:t>
      </w:r>
      <w:r>
        <w:rPr>
          <w:rtl/>
        </w:rPr>
        <w:t xml:space="preserve">، أو عند </w:t>
      </w:r>
      <w:r>
        <w:rPr>
          <w:highlight w:val="yellow"/>
          <w:rtl/>
        </w:rPr>
        <w:t xml:space="preserve">[</w:t>
      </w:r>
      <w:r>
        <w:rPr>
          <w:highlight w:val="yellow"/>
          <w:rtl/>
        </w:rPr>
        <w:t xml:space="preserve">التسليم الابتدائي / الاستلام الابتدائي</w:t>
      </w:r>
      <w:r>
        <w:rPr>
          <w:highlight w:val="yellow"/>
          <w:rtl/>
        </w:rPr>
        <w:t xml:space="preserve">]</w:t>
      </w:r>
      <w:r>
        <w:rPr>
          <w:rtl/>
        </w:rPr>
        <w:t xml:space="preserve">. وتأخير الباطن يخضع للبند (8).</w:t>
      </w:r>
    </w:p>
    <w:p>
      <w:pPr>
        <w:pStyle w:val="Heading1"/>
        <w:bidi/>
      </w:pPr>
      <w:r>
        <w:rPr>
          <w:rtl/>
        </w:rPr>
        <w:t xml:space="preserve">البند (5): الضمان والعيوب</w:t>
      </w:r>
    </w:p>
    <w:p>
      <w:pPr>
        <w:bidi/>
      </w:pPr>
      <w:r>
        <w:rPr>
          <w:rtl/>
        </w:rPr>
        <w:t xml:space="preserve">يضمن الباطن العمل لمدة </w:t>
      </w:r>
      <w:r>
        <w:rPr>
          <w:highlight w:val="yellow"/>
          <w:rtl/>
        </w:rPr>
        <w:t xml:space="preserve">[</w:t>
      </w:r>
      <w:r>
        <w:rPr>
          <w:highlight w:val="yellow"/>
          <w:rtl/>
        </w:rPr>
        <w:t xml:space="preserve">●</w:t>
      </w:r>
      <w:r>
        <w:rPr>
          <w:highlight w:val="yellow"/>
          <w:rtl/>
        </w:rPr>
        <w:t xml:space="preserve">]</w:t>
      </w:r>
      <w:r>
        <w:rPr>
          <w:rtl/>
        </w:rPr>
        <w:t xml:space="preserve"> من الاستلام. ويصلح العيب خلال </w:t>
      </w:r>
      <w:r>
        <w:rPr>
          <w:highlight w:val="yellow"/>
          <w:rtl/>
        </w:rPr>
        <w:t xml:space="preserve">[</w:t>
      </w:r>
      <w:r>
        <w:rPr>
          <w:highlight w:val="yellow"/>
          <w:rtl/>
        </w:rPr>
        <w:t xml:space="preserve">●</w:t>
      </w:r>
      <w:r>
        <w:rPr>
          <w:highlight w:val="yellow"/>
          <w:rtl/>
        </w:rPr>
        <w:t xml:space="preserve">]</w:t>
      </w:r>
      <w:r>
        <w:rPr>
          <w:rtl/>
        </w:rPr>
        <w:t xml:space="preserve"> يوماً من الإخطار.</w:t>
      </w:r>
    </w:p>
    <w:p>
      <w:pPr>
        <w:pStyle w:val="Heading1"/>
        <w:bidi/>
      </w:pPr>
      <w:r>
        <w:rPr>
          <w:rtl/>
        </w:rPr>
        <w:t xml:space="preserve">البند (6): عدم التعاقد من الباطن</w:t>
      </w:r>
    </w:p>
    <w:p>
      <w:pPr>
        <w:bidi/>
      </w:pPr>
      <w:r>
        <w:rPr>
          <w:rtl/>
        </w:rPr>
        <w:t xml:space="preserve">لا يعهد الباطن بأي جزء من العمل إلى غيره إلا بموافقة كتابية من الرئيسي. ويبقى الباطن مسؤولاً عن من يعهد إليه.</w:t>
      </w:r>
    </w:p>
    <w:p>
      <w:pPr>
        <w:pStyle w:val="Heading1"/>
        <w:bidi/>
      </w:pPr>
      <w:r>
        <w:rPr>
          <w:rtl/>
        </w:rPr>
        <w:t xml:space="preserve">البند (7): المسؤولية تجاه صاحب العمل</w:t>
      </w:r>
    </w:p>
    <w:p>
      <w:pPr>
        <w:bidi/>
      </w:pPr>
      <w:r>
        <w:rPr>
          <w:rtl/>
        </w:rPr>
        <w:t xml:space="preserve">يقر الباطن بأن دعواه على صاحب العمل مباشرة لا تقوم إلا إذا حوّل الرئيسي الحق صراحة.</w:t>
      </w:r>
      <w:r>
        <w:rPr>
          <w:rtl/>
        </w:rPr>
        <w:t xml:space="preserve"> ويلتزم الباطن بتعويض الرئيسي عن أضرار ناشئة عن إخلال الباطن أمام صاحب العمل، في حدود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(8): التأخير والشرط الجزائي</w:t>
      </w:r>
    </w:p>
    <w:p>
      <w:pPr>
        <w:bidi/>
      </w:pPr>
      <w:r>
        <w:rPr>
          <w:rtl/>
        </w:rPr>
        <w:t xml:space="preserve">عند تأخر الباطن يدفع </w:t>
      </w:r>
      <w:r>
        <w:rPr>
          <w:highlight w:val="yellow"/>
          <w:rtl/>
        </w:rPr>
        <w:t xml:space="preserve">[</w:t>
      </w:r>
      <w:r>
        <w:rPr>
          <w:highlight w:val="yellow"/>
          <w:rtl/>
        </w:rPr>
        <w:t xml:space="preserve">●</w:t>
      </w:r>
      <w:r>
        <w:rPr>
          <w:highlight w:val="yellow"/>
          <w:rtl/>
        </w:rPr>
        <w:t xml:space="preserve">]</w:t>
      </w:r>
      <w:r>
        <w:rPr>
          <w:rtl/>
        </w:rPr>
        <w:t xml:space="preserve"> عن كل </w:t>
      </w:r>
      <w:r>
        <w:rPr>
          <w:highlight w:val="yellow"/>
          <w:rtl/>
        </w:rPr>
        <w:t xml:space="preserve">[</w:t>
      </w:r>
      <w:r>
        <w:rPr>
          <w:highlight w:val="yellow"/>
          <w:rtl/>
        </w:rPr>
        <w:t xml:space="preserve">يوم / أسبوع</w:t>
      </w:r>
      <w:r>
        <w:rPr>
          <w:highlight w:val="yellow"/>
          <w:rtl/>
        </w:rPr>
        <w:t xml:space="preserve">]</w:t>
      </w:r>
      <w:r>
        <w:rPr>
          <w:rtl/>
        </w:rPr>
        <w:t xml:space="preserve"> تأخير، ما لم يثبت أن التأخير لسبب يرجع إلى الرئيسي أو إلى قوة قاهرة. وانظروا </w:t>
      </w:r>
      <w:hyperlink w:history="1" r:id="rId5rhgl1lhq1k0com_w24ct">
        <w:r>
          <w:rPr>
            <w:rStyle w:val="Hyperlink"/>
            <w:rtl/>
          </w:rPr>
          <w:t xml:space="preserve">الشرط الجزائي</w:t>
        </w:r>
      </w:hyperlink>
      <w:r>
        <w:rPr>
          <w:rtl/>
        </w:rPr>
        <w:t xml:space="preserve"> قبل تثبيت مبلغ.</w:t>
      </w:r>
    </w:p>
    <w:p>
      <w:pPr>
        <w:pStyle w:val="Heading1"/>
        <w:bidi/>
      </w:pPr>
      <w:r>
        <w:rPr>
          <w:rtl/>
        </w:rPr>
        <w:t xml:space="preserve">البند (9): القوة القاهرة والظروف الطارئة</w:t>
      </w:r>
    </w:p>
    <w:p>
      <w:pPr>
        <w:bidi/>
      </w:pPr>
      <w:r>
        <w:rPr>
          <w:rtl/>
        </w:rPr>
        <w:t xml:space="preserve">القوة القاهرة وفق </w:t>
      </w:r>
      <w:hyperlink w:history="1" r:id="rIdu77ncrjkcwzttcthxjwyu">
        <w:r>
          <w:rPr>
            <w:rStyle w:val="Hyperlink"/>
            <w:rtl/>
          </w:rPr>
          <w:t xml:space="preserve">القوة القاهرة</w:t>
        </w:r>
      </w:hyperlink>
      <w:r>
        <w:rPr>
          <w:rtl/>
        </w:rPr>
        <w:t xml:space="preserve">. وإذا طرأت ظروف استثنائية عامة يجوز لأي طرف طلب إعادة التوازن وفق النظام النافذ.</w:t>
      </w:r>
      <w:r>
        <w:rPr>
          <w:rtl/>
        </w:rPr>
        <w:t xml:space="preserve"> وانظروا </w:t>
      </w:r>
      <w:hyperlink w:history="1" r:id="rIdc08u7soqscss9nyuabk6a">
        <w:r>
          <w:rPr>
            <w:rStyle w:val="Hyperlink"/>
            <w:rtl/>
          </w:rPr>
          <w:t xml:space="preserve">الظروف الطارئة</w:t>
        </w:r>
      </w:hyperlink>
      <w:r>
        <w:rPr>
          <w:rtl/>
        </w:rPr>
        <w:t xml:space="preserve">.</w:t>
      </w:r>
    </w:p>
    <w:p>
      <w:pPr>
        <w:pStyle w:val="Heading1"/>
        <w:bidi/>
      </w:pPr>
      <w:r>
        <w:rPr>
          <w:rtl/>
        </w:rPr>
        <w:t xml:space="preserve">البند (10): الإنهاء</w:t>
      </w:r>
    </w:p>
    <w:p>
      <w:pPr>
        <w:bidi/>
      </w:pPr>
      <w:r>
        <w:rPr>
          <w:rtl/>
        </w:rPr>
        <w:t xml:space="preserve">يُنهى بإخطار كتابي مدته </w:t>
      </w:r>
      <w:r>
        <w:rPr>
          <w:highlight w:val="yellow"/>
          <w:rtl/>
        </w:rPr>
        <w:t xml:space="preserve">[</w:t>
      </w:r>
      <w:r>
        <w:rPr>
          <w:highlight w:val="yellow"/>
          <w:rtl/>
        </w:rPr>
        <w:t xml:space="preserve">●</w:t>
      </w:r>
      <w:r>
        <w:rPr>
          <w:highlight w:val="yellow"/>
          <w:rtl/>
        </w:rPr>
        <w:t xml:space="preserve">]</w:t>
      </w:r>
      <w:r>
        <w:rPr>
          <w:rtl/>
        </w:rPr>
        <w:t xml:space="preserve"> يوماً، أو فوراً عند إخلال جوهري لم يُصحح خلال </w:t>
      </w:r>
      <w:r>
        <w:rPr>
          <w:highlight w:val="yellow"/>
          <w:rtl/>
        </w:rPr>
        <w:t xml:space="preserve">[</w:t>
      </w:r>
      <w:r>
        <w:rPr>
          <w:highlight w:val="yellow"/>
          <w:rtl/>
        </w:rPr>
        <w:t xml:space="preserve">●</w:t>
      </w:r>
      <w:r>
        <w:rPr>
          <w:highlight w:val="yellow"/>
          <w:rtl/>
        </w:rPr>
        <w:t xml:space="preserve">]</w:t>
      </w:r>
      <w:r>
        <w:rPr>
          <w:rtl/>
        </w:rPr>
        <w:t xml:space="preserve"> يوماً، أو إذا انتهى العقد الرئيسي أو أُلغي.</w:t>
      </w:r>
    </w:p>
    <w:p>
      <w:pPr>
        <w:pStyle w:val="Heading1"/>
        <w:bidi/>
      </w:pPr>
      <w:r>
        <w:rPr>
          <w:rtl/>
        </w:rPr>
        <w:t xml:space="preserve">البند (11): القانون والنزاع</w:t>
      </w:r>
    </w:p>
    <w:p>
      <w:pPr>
        <w:bidi/>
      </w:pPr>
      <w:r>
        <w:rPr>
          <w:rtl/>
        </w:rPr>
        <w:t xml:space="preserve">يخضع لقوانين </w:t>
      </w:r>
      <w:r>
        <w:rPr>
          <w:highlight w:val="yellow"/>
          <w:rtl/>
        </w:rPr>
        <w:t xml:space="preserve">[</w:t>
      </w:r>
      <w:r>
        <w:rPr>
          <w:highlight w:val="yellow"/>
          <w:rtl/>
        </w:rPr>
        <w:t xml:space="preserve">●</w:t>
      </w:r>
      <w:r>
        <w:rPr>
          <w:highlight w:val="yellow"/>
          <w:rtl/>
        </w:rPr>
        <w:t xml:space="preserve">]</w:t>
      </w:r>
      <w:r>
        <w:rPr>
          <w:rtl/>
        </w:rPr>
        <w:t xml:space="preserve"> ومحاكم </w:t>
      </w:r>
      <w:r>
        <w:rPr>
          <w:highlight w:val="yellow"/>
          <w:rtl/>
        </w:rPr>
        <w:t xml:space="preserve">[</w:t>
      </w:r>
      <w:r>
        <w:rPr>
          <w:highlight w:val="yellow"/>
          <w:rtl/>
        </w:rPr>
        <w:t xml:space="preserve">●</w:t>
      </w:r>
      <w:r>
        <w:rPr>
          <w:highlight w:val="yellow"/>
          <w:rtl/>
        </w:rPr>
        <w:t xml:space="preserve">]</w:t>
      </w:r>
      <w:r>
        <w:rPr>
          <w:rtl/>
        </w:rPr>
        <w:t xml:space="preserve">، أو لـ</w:t>
      </w:r>
      <w:hyperlink w:history="1" r:id="rIdo7hmixx6krfuzcpjp_kev">
        <w:r>
          <w:rPr>
            <w:rStyle w:val="Hyperlink"/>
            <w:rtl/>
          </w:rPr>
          <w:t xml:space="preserve">التحكيم</w:t>
        </w:r>
      </w:hyperlink>
      <w:r>
        <w:rPr>
          <w:rtl/>
        </w:rPr>
        <w:t xml:space="preserve"> في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(12): التوقيع</w:t>
      </w:r>
    </w:p>
    <w:p>
      <w:pPr>
        <w:bidi/>
      </w:pPr>
      <w:r>
        <w:rPr>
          <w:rtl/>
        </w:rPr>
        <w:t xml:space="preserve">التوقيع: الرئيسي </w:t>
      </w:r>
      <w:r>
        <w:rPr>
          <w:highlight w:val="yellow"/>
          <w:rtl/>
        </w:rPr>
        <w:t xml:space="preserve">[</w:t>
      </w:r>
      <w:r>
        <w:rPr>
          <w:highlight w:val="yellow"/>
          <w:rtl/>
        </w:rPr>
        <w:t xml:space="preserve">●</w:t>
      </w:r>
      <w:r>
        <w:rPr>
          <w:highlight w:val="yellow"/>
          <w:rtl/>
        </w:rPr>
        <w:t xml:space="preserve">]</w:t>
      </w:r>
      <w:r>
        <w:rPr>
          <w:rtl/>
        </w:rPr>
        <w:t xml:space="preserve">، الباطن </w:t>
      </w:r>
      <w:r>
        <w:rPr>
          <w:highlight w:val="yellow"/>
          <w:rtl/>
        </w:rPr>
        <w:t xml:space="preserve">[</w:t>
      </w:r>
      <w:r>
        <w:rPr>
          <w:highlight w:val="yellow"/>
          <w:rtl/>
        </w:rPr>
        <w:t xml:space="preserve">●</w:t>
      </w:r>
      <w:r>
        <w:rPr>
          <w:highlight w:val="yellow"/>
          <w:rtl/>
        </w:rPr>
        <w:t xml:space="preserve">]</w:t>
      </w:r>
      <w:r>
        <w:rPr>
          <w:rtl/>
        </w:rPr>
        <w:t xml:space="preserve">.</w:t>
      </w:r>
    </w:p>
    <w:p>
      <w:pPr>
        <w:pStyle w:val="Heading1"/>
        <w:pageBreakBefore/>
        <w:bidi/>
      </w:pPr>
      <w:r>
        <w:rPr>
          <w:rtl/>
        </w:rPr>
        <w:t xml:space="preserve">ملاحظات عن المملكة العربية السعودية</w:t>
      </w:r>
    </w:p>
    <w:p>
      <w:pPr>
        <w:bidi/>
      </w:pPr>
      <w:r>
        <w:rPr>
          <w:rtl/>
        </w:rPr>
        <w:t xml:space="preserve">نظام المعاملات المدنية.</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التعاقد من الباطن</w:t>
            </w:r>
          </w:p>
        </w:tc>
        <w:tc>
          <w:tcPr>
            <w:tcMar>
              <w:top w:type="dxa" w:w="80"/>
              <w:left w:type="dxa" w:w="100"/>
              <w:bottom w:type="dxa" w:w="80"/>
              <w:right w:type="dxa" w:w="100"/>
            </w:tcMar>
          </w:tcPr>
          <w:p>
            <w:pPr>
              <w:bidi/>
              <w:spacing w:after="0"/>
            </w:pPr>
            <w:r>
              <w:rPr>
                <w:b w:val="false"/>
                <w:sz w:val="18"/>
                <w:szCs w:val="18"/>
                <w:rtl/>
              </w:rPr>
              <w:t xml:space="preserve">يجوز للمقاول أن يعهد بكل العمل أو بعضه إلى مقاول من الباطن ما لم يمنع النظام أو العقد أو طبيعة العمل أو كفاية المقاول الشخصية، ويبقى مسؤولاً أمام صاحب العمل (المادة الثالثة والسبعون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دعوى الباطن</w:t>
            </w:r>
          </w:p>
        </w:tc>
        <w:tc>
          <w:tcPr>
            <w:tcMar>
              <w:top w:type="dxa" w:w="80"/>
              <w:left w:type="dxa" w:w="100"/>
              <w:bottom w:type="dxa" w:w="80"/>
              <w:right w:type="dxa" w:w="100"/>
            </w:tcMar>
          </w:tcPr>
          <w:p>
            <w:pPr>
              <w:bidi/>
              <w:spacing w:after="0"/>
            </w:pPr>
            <w:r>
              <w:rPr>
                <w:b w:val="false"/>
                <w:sz w:val="18"/>
                <w:szCs w:val="18"/>
                <w:rtl/>
              </w:rPr>
              <w:t xml:space="preserve">لا يكون لمقاول الباطن دعوى مباشرة على صاحب العمل إلا إذا حوّل المقاول الرئيسي الحق إليه (المادة الرابعة والسبعون بعد الأربعمائة).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الظروف الاستثنائية</w:t>
            </w:r>
          </w:p>
        </w:tc>
        <w:tc>
          <w:tcPr>
            <w:tcMar>
              <w:top w:type="dxa" w:w="80"/>
              <w:left w:type="dxa" w:w="100"/>
              <w:bottom w:type="dxa" w:w="80"/>
              <w:right w:type="dxa" w:w="100"/>
            </w:tcMar>
          </w:tcPr>
          <w:p>
            <w:pPr>
              <w:bidi/>
              <w:spacing w:after="0"/>
            </w:pPr>
            <w:r>
              <w:rPr>
                <w:b w:val="false"/>
                <w:sz w:val="18"/>
                <w:szCs w:val="18"/>
                <w:rtl/>
              </w:rPr>
              <w:t xml:space="preserve">إذا طرأت ظروف استثنائية عامة يجوز طلب إعادة التوازن (المادة الحادية والسبعون بعد الأربعمائة).</w:t>
            </w:r>
            <w:r>
              <w:rPr>
                <w:b w:val="false"/>
                <w:sz w:val="18"/>
                <w:szCs w:val="18"/>
                <w:rtl/>
              </w:rPr>
              <w:t xml:space="preserve"> [1]</w:t>
            </w:r>
          </w:p>
        </w:tc>
      </w:tr>
    </w:tbl>
    <w:p>
      <w:pPr>
        <w:bidi/>
      </w:pPr>
    </w:p>
    <w:p>
      <w:pPr>
        <w:pStyle w:val="Heading1"/>
        <w:pageBreakBefore/>
        <w:bidi/>
      </w:pPr>
      <w:r>
        <w:rPr>
          <w:rtl/>
        </w:rPr>
        <w:t xml:space="preserve">ملاحظات عن الإمارات العربية المتحدة</w:t>
      </w:r>
    </w:p>
    <w:p>
      <w:pPr>
        <w:bidi/>
      </w:pPr>
      <w:r>
        <w:rPr>
          <w:rtl/>
        </w:rPr>
        <w:t xml:space="preserve">المرسوم بقانون الاتحادي رقم (25) لسنة 2025، نافذ من 1 يونيو 2026.</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التعاقد من الباطن</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 في هذا الملف.</w:t>
            </w:r>
            <w:r>
              <w:rPr>
                <w:b w:val="false"/>
                <w:sz w:val="18"/>
                <w:szCs w:val="18"/>
                <w:rtl/>
              </w:rPr>
              <w:t xml:space="preserve"> [2]</w:t>
            </w:r>
          </w:p>
        </w:tc>
      </w:tr>
    </w:tbl>
    <w:p>
      <w:pPr>
        <w:bidi/>
      </w:pPr>
    </w:p>
    <w:p>
      <w:pPr>
        <w:pStyle w:val="Heading1"/>
        <w:bidi/>
      </w:pPr>
      <w:r>
        <w:rPr>
          <w:rtl/>
        </w:rPr>
        <w:t xml:space="preserve">البحرين وقطر والكويت وسلطنة عُمان</w:t>
      </w:r>
    </w:p>
    <w:p>
      <w:pPr>
        <w:pStyle w:val="ListParagraph"/>
        <w:numPr>
          <w:ilvl w:val="0"/>
          <w:numId w:val="2"/>
        </w:numPr>
        <w:bidi/>
      </w:pPr>
      <w:r>
        <w:rPr>
          <w:rtl/>
        </w:rPr>
        <w:t xml:space="preserve">البحرين: قيد المراجعة. لا رقم مادة للتعاقد من الباطن في هذه الصفحة.</w:t>
      </w:r>
    </w:p>
    <w:p>
      <w:pPr>
        <w:pStyle w:val="ListParagraph"/>
        <w:numPr>
          <w:ilvl w:val="0"/>
          <w:numId w:val="2"/>
        </w:numPr>
        <w:bidi/>
      </w:pPr>
      <w:r>
        <w:rPr>
          <w:rtl/>
        </w:rPr>
        <w:t xml:space="preserve">قطر: قيد المراجعة. لا رقم مادة.</w:t>
      </w:r>
    </w:p>
    <w:p>
      <w:pPr>
        <w:pStyle w:val="ListParagraph"/>
        <w:numPr>
          <w:ilvl w:val="0"/>
          <w:numId w:val="2"/>
        </w:numPr>
        <w:bidi/>
      </w:pPr>
      <w:r>
        <w:rPr>
          <w:rtl/>
        </w:rPr>
        <w:t xml:space="preserve">الكويت: قيد المراجعة. لا رقم مادة.</w:t>
      </w:r>
    </w:p>
    <w:p>
      <w:pPr>
        <w:pStyle w:val="ListParagraph"/>
        <w:numPr>
          <w:ilvl w:val="0"/>
          <w:numId w:val="2"/>
        </w:numPr>
        <w:bidi/>
      </w:pPr>
      <w:r>
        <w:rPr>
          <w:rtl/>
        </w:rPr>
        <w:t xml:space="preserve">سلطنة عُمان: قيد المراجعة. لا رقم مادة للتعاقد من الباطن في هذه الجولة.</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bfobekjnpeiyfee_susru">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‪https://www.qanu.ai/ar/نماذج/نموذج-عقد-مقاولة-من-الباطن‬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المعاملات المدنية الصادر بالمرسوم الملكي رقم (م/191) وتاريخ 29/11/1444هـ </w:t>
      </w:r>
      <w:hyperlink w:history="1" r:id="rIdr0wrpdezzfwhtpzbqx7d3">
        <w:r>
          <w:rPr>
            <w:rStyle w:val="Hyperlink"/>
            <w:sz w:val="16"/>
            <w:szCs w:val="16"/>
          </w:rPr>
          <w:t xml:space="preserve">https://laws.boe.gov.sa/BoeLaws/Laws/LawDetails/655fdb42-8c96-422b-b8c4-b04f0095c94c/1</w:t>
        </w:r>
      </w:hyperlink>
    </w:p>
    <w:p>
      <w:pPr>
        <w:bidi/>
        <w:ind w:start="360" w:hanging="360"/>
      </w:pPr>
      <w:r>
        <w:rPr>
          <w:sz w:val="18"/>
          <w:szCs w:val="18"/>
          <w:rtl/>
        </w:rPr>
        <w:t xml:space="preserve">[2] تشريعات الإمارات، مرسوم بقانون اتحادي رقم (25) لسنة 2025 (قانون المعاملات المدنية) </w:t>
      </w:r>
      <w:hyperlink w:history="1" r:id="rId2zie9gpeevbcnfit3c0hx">
        <w:r>
          <w:rPr>
            <w:rStyle w:val="Hyperlink"/>
            <w:sz w:val="16"/>
            <w:szCs w:val="16"/>
          </w:rPr>
          <w:t xml:space="preserve">https://uaelegislation.gov.ae/en/legislations/4011</w:t>
        </w:r>
      </w:hyperlink>
    </w:p>
    <w:sectPr>
      <w:headerReference w:type="default" r:id="rId6"/>
      <w:headerReference w:type="first" r:id="rId7"/>
      <w:footerReference w:type="default" r:id="rId8"/>
      <w:footerReference w:type="first" r:id="rId9"/>
      <w:pgSz w:w="11906" w:h="16838" w:orient="portrait"/>
      <w:pgMar w:top="1300" w:right="1200" w:bottom="1100" w:left="12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6C5DD66F-C367-499E-DB69-854F8DA3B213}"/>
    <w:embedBold r:id="rId2" w:fontKey="{BBC22DE7-4DBB-D7D6-589B-B6254169CB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‪https://www.qanu.ai/ar/نماذج/نموذج-عقد-مقاولة-من-الباطن‬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‪https://www.qanu.ai/ar/نماذج/نموذج-عقد-مقاولة-من-الباطن‬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hxf7alc111xbocfoer5vv" Type="http://schemas.openxmlformats.org/officeDocument/2006/relationships/hyperlink" Target="https://laws.boe.gov.sa/BoeLaws/Laws/LawDetails/655fdb42-8c96-422b-b8c4-b04f0095c94c/1" TargetMode="External"/><Relationship Id="rId2jfmft9ucmtwejwbhmc8i" Type="http://schemas.openxmlformats.org/officeDocument/2006/relationships/hyperlink" Target="https://uaelegislation.gov.ae/en/legislations/4011" TargetMode="External"/><Relationship Id="rId5rhgl1lhq1k0com_w24ct" Type="http://schemas.openxmlformats.org/officeDocument/2006/relationships/hyperlink" Target="https://www.qanu.ai/ar/%D9%85%D8%B3%D8%B1%D8%AF-%D9%82%D8%A7%D9%86%D9%88%D9%86%D9%8A/%D8%B4%D8%B1%D8%B7-%D8%AC%D8%B2%D8%A7%D8%A6%D9%8A" TargetMode="External"/><Relationship Id="rIdu77ncrjkcwzttcthxjwyu" Type="http://schemas.openxmlformats.org/officeDocument/2006/relationships/hyperlink" Target="https://www.qanu.ai/ar/%D9%85%D8%B3%D8%B1%D8%AF-%D9%82%D8%A7%D9%86%D9%88%D9%86%D9%8A/%D9%82%D9%88%D8%A9-%D9%82%D8%A7%D9%87%D8%B1%D8%A9" TargetMode="External"/><Relationship Id="rIdc08u7soqscss9nyuabk6a" Type="http://schemas.openxmlformats.org/officeDocument/2006/relationships/hyperlink" Target="https://www.qanu.ai/ar/%D9%85%D8%B3%D8%B1%D8%AF-%D9%82%D8%A7%D9%86%D9%88%D9%86%D9%8A/%D8%A7%D9%84%D8%B8%D8%B1%D9%88%D9%81-%D8%A7%D9%84%D8%B7%D8%A7%D8%B1%D8%A6%D8%A9" TargetMode="External"/><Relationship Id="rIdo7hmixx6krfuzcpjp_kev" Type="http://schemas.openxmlformats.org/officeDocument/2006/relationships/hyperlink" Target="https://www.qanu.ai/ar/%D9%85%D8%B3%D8%B1%D8%AF-%D9%82%D8%A7%D9%86%D9%88%D9%86%D9%8A/%D8%AA%D8%AD%D9%83%D9%8A%D9%85" TargetMode="External"/><Relationship Id="rIdbfobekjnpeiyfee_susru" Type="http://schemas.openxmlformats.org/officeDocument/2006/relationships/hyperlink" Target="https://creativecommons.org/licenses/by/4.0/deed.ar" TargetMode="External"/><Relationship Id="rIdr0wrpdezzfwhtpzbqx7d3" Type="http://schemas.openxmlformats.org/officeDocument/2006/relationships/hyperlink" Target="https://laws.boe.gov.sa/BoeLaws/Laws/LawDetails/655fdb42-8c96-422b-b8c4-b04f0095c94c/1" TargetMode="External"/><Relationship Id="rId2zie9gpeevbcnfit3c0hx" Type="http://schemas.openxmlformats.org/officeDocument/2006/relationships/hyperlink" Target="https://uaelegislation.gov.ae/en/legislations/401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مقاولة من الباطن</dc:title>
  <dc:creator>Qanu</dc:creator>
  <cp:keywords>عقد مقاولة من الباطن, مقاولة,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2026-10-23T18:59:24.387Z</dcterms:created>
  <dcterms:modified xsi:type="dcterms:W3CDTF">2026-10-23T18:59:24.387Z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https://www.qanu.ai/ar/نماذج/نموذج-عقد-مقاولة-من-الباطن</vt:lpwstr>
  </property>
</Properties>
</file>