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val="false"/>
      </w:pPr>
      <w:r>
        <w:rPr>
          <w:b/>
          <w:bCs/>
          <w:rtl w:val="false"/>
        </w:rPr>
        <w:t xml:space="preserve">The main contractor remains liable to the employer.</w:t>
      </w:r>
      <w:r>
        <w:rPr>
          <w:rtl w:val="false"/>
        </w:rPr>
        <w:t xml:space="preserve"> The contractor may subcontract all or part of the work unless the law, the contract, the nature of the work or the contractor’s personal skill rules it out, and the contractor stays liable to the employer.</w:t>
      </w:r>
      <w:r>
        <w:rPr>
          <w:rtl w:val="false"/>
        </w:rPr>
        <w:t xml:space="preserve"> [1]</w:t>
      </w:r>
      <w:r>
        <w:rPr>
          <w:rtl w:val="false"/>
        </w:rPr>
        <w:t xml:space="preserve"> The subcontractor has no direct claim against the employer unless the main contractor assigned the right.</w:t>
      </w:r>
      <w:r>
        <w:rPr>
          <w:rtl w:val="false"/>
        </w:rPr>
        <w:t xml:space="preserve"> [1]</w:t>
      </w:r>
      <w:r>
        <w:rPr>
          <w:rtl w:val="false"/>
        </w:rPr>
        <w:t xml:space="preserve"> Exceptional general circumstances may open a request to rebalance the obligation.</w:t>
      </w:r>
      <w:r>
        <w:rPr>
          <w:rtl w:val="false"/>
        </w:rPr>
        <w:t xml:space="preserve"> [1]</w:t>
      </w:r>
      <w:r>
        <w:rPr>
          <w:rtl w:val="false"/>
        </w:rPr>
        <w:t xml:space="preserve"> In the UAE the subcontracting rule in the Civil Transactions Law in force is under review. No article number is stated.</w:t>
      </w:r>
      <w:r>
        <w:rPr>
          <w:rtl w:val="false"/>
        </w:rPr>
        <w:t xml:space="preserve"> [2]</w:t>
      </w:r>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Civil Transactions Law: </w:t>
      </w:r>
      <w:hyperlink w:history="1" r:id="rIdk2izhjfvwee-jrpaxeyt3">
        <w:r>
          <w:rPr>
            <w:rStyle w:val="Hyperlink"/>
            <w:sz w:val="17"/>
            <w:szCs w:val="17"/>
          </w:rPr>
          <w:t xml:space="preserve">https://laws.boe.gov.sa/BoeLaws/Laws/LawDetails/655fdb42-8c96-422b-b8c4-b04f0095c94c/1</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UAE Civil Transactions Law: </w:t>
      </w:r>
      <w:hyperlink w:history="1" r:id="rIdk0dbwdf6zl2yi_u5ai8lf">
        <w:r>
          <w:rPr>
            <w:rStyle w:val="Hyperlink"/>
            <w:sz w:val="17"/>
            <w:szCs w:val="17"/>
          </w:rPr>
          <w:t xml:space="preserve">https://uaelegislation.gov.ae/en/legislations/4011</w:t>
        </w:r>
      </w:hyperlink>
    </w:p>
    <w:p>
      <w:pPr>
        <w:bidi w:val="false"/>
        <w:spacing w:after="240"/>
      </w:pPr>
    </w:p>
    <w:p>
      <w:pPr>
        <w:pStyle w:val="Title"/>
        <w:bidi w:val="false"/>
      </w:pPr>
      <w:r>
        <w:rPr>
          <w:rtl w:val="false"/>
        </w:rPr>
        <w:t xml:space="preserve">Subcontract agreement</w:t>
      </w:r>
    </w:p>
    <w:p>
      <w:pPr>
        <w:bidi w:val="false"/>
        <w:spacing w:after="240"/>
      </w:pPr>
      <w:r>
        <w:rPr>
          <w:color w:val="444444"/>
          <w:rtl w:val="false"/>
        </w:rPr>
        <w:t xml:space="preserve">Between a main contractor and a subcontractor in the GCC. Replace every </w:t>
      </w:r>
      <w:r>
        <w:rPr>
          <w:color w:val="444444"/>
          <w:highlight w:val="yellow"/>
          <w:rtl w:val="false"/>
        </w:rPr>
        <w:t xml:space="preserve">[</w:t>
      </w:r>
      <w:r>
        <w:rPr>
          <w:color w:val="444444"/>
          <w:highlight w:val="yellow"/>
          <w:rtl w:val="false"/>
        </w:rPr>
        <w:t xml:space="preserve">bracketed phrase</w:t>
      </w:r>
      <w:r>
        <w:rPr>
          <w:color w:val="444444"/>
          <w:highlight w:val="yellow"/>
          <w:rtl w:val="false"/>
        </w:rPr>
        <w:t xml:space="preserve">]</w:t>
      </w:r>
      <w:r>
        <w:rPr>
          <w:color w:val="444444"/>
          <w:rtl w:val="false"/>
        </w:rPr>
        <w:t xml:space="preserve"> and delete what does not apply. This is a starting point. Have it reviewed by a lawyer licensed in the relevant jurisdiction before you use it.</w:t>
      </w:r>
    </w:p>
    <w:p>
      <w:pPr>
        <w:pStyle w:val="Heading1"/>
        <w:bidi w:val="false"/>
      </w:pPr>
      <w:r>
        <w:rPr>
          <w:rtl w:val="false"/>
        </w:rPr>
        <w:t xml:space="preserve">Clause (1): Parties and main contract</w:t>
      </w:r>
    </w:p>
    <w:p>
      <w:pPr>
        <w:bidi w:val="false"/>
      </w:pPr>
      <w:r>
        <w:rPr>
          <w:rtl w:val="false"/>
        </w:rPr>
        <w:t xml:space="preserve">Made on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between </w:t>
      </w:r>
      <w:r>
        <w:rPr>
          <w:highlight w:val="yellow"/>
          <w:rtl w:val="false"/>
        </w:rPr>
        <w:t xml:space="preserve">[</w:t>
      </w:r>
      <w:r>
        <w:rPr>
          <w:highlight w:val="yellow"/>
          <w:rtl w:val="false"/>
        </w:rPr>
        <w:t xml:space="preserve">main contractor</w:t>
      </w:r>
      <w:r>
        <w:rPr>
          <w:highlight w:val="yellow"/>
          <w:rtl w:val="false"/>
        </w:rPr>
        <w:t xml:space="preserve">]</w:t>
      </w:r>
      <w:r>
        <w:rPr>
          <w:rtl w:val="false"/>
        </w:rPr>
        <w:t xml:space="preserve">, CR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(the “Main Contractor”), and </w:t>
      </w:r>
      <w:r>
        <w:rPr>
          <w:highlight w:val="yellow"/>
          <w:rtl w:val="false"/>
        </w:rPr>
        <w:t xml:space="preserve">[</w:t>
      </w:r>
      <w:r>
        <w:rPr>
          <w:highlight w:val="yellow"/>
          <w:rtl w:val="false"/>
        </w:rPr>
        <w:t xml:space="preserve">subcontractor</w:t>
      </w:r>
      <w:r>
        <w:rPr>
          <w:highlight w:val="yellow"/>
          <w:rtl w:val="false"/>
        </w:rPr>
        <w:t xml:space="preserve">]</w:t>
      </w:r>
      <w:r>
        <w:rPr>
          <w:rtl w:val="false"/>
        </w:rPr>
        <w:t xml:space="preserve">, CR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(the “Subcontractor”). The main contract between the Main Contractor and </w:t>
      </w:r>
      <w:r>
        <w:rPr>
          <w:highlight w:val="yellow"/>
          <w:rtl w:val="false"/>
        </w:rPr>
        <w:t xml:space="preserve">[</w:t>
      </w:r>
      <w:r>
        <w:rPr>
          <w:highlight w:val="yellow"/>
          <w:rtl w:val="false"/>
        </w:rPr>
        <w:t xml:space="preserve">employer / owner</w:t>
      </w:r>
      <w:r>
        <w:rPr>
          <w:highlight w:val="yellow"/>
          <w:rtl w:val="false"/>
        </w:rPr>
        <w:t xml:space="preserve">]</w:t>
      </w:r>
      <w:r>
        <w:rPr>
          <w:rtl w:val="false"/>
        </w:rPr>
        <w:t xml:space="preserve"> dated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for </w:t>
      </w:r>
      <w:r>
        <w:rPr>
          <w:highlight w:val="yellow"/>
          <w:rtl w:val="false"/>
        </w:rPr>
        <w:t xml:space="preserve">[</w:t>
      </w:r>
      <w:r>
        <w:rPr>
          <w:highlight w:val="yellow"/>
          <w:rtl w:val="false"/>
        </w:rPr>
        <w:t xml:space="preserve">works description</w:t>
      </w:r>
      <w:r>
        <w:rPr>
          <w:highlight w:val="yellow"/>
          <w:rtl w:val="false"/>
        </w:rPr>
        <w:t xml:space="preserve">]</w:t>
      </w:r>
      <w:r>
        <w:rPr>
          <w:rtl w:val="false"/>
        </w:rPr>
        <w:t xml:space="preserve"> (the “Main Contract”).</w:t>
      </w:r>
    </w:p>
    <w:p>
      <w:pPr>
        <w:pStyle w:val="Heading1"/>
        <w:bidi w:val="false"/>
      </w:pPr>
      <w:r>
        <w:rPr>
          <w:rtl w:val="false"/>
        </w:rPr>
        <w:t xml:space="preserve">Clause (2): Subcontract scope</w:t>
      </w:r>
    </w:p>
    <w:p>
      <w:pPr>
        <w:bidi w:val="false"/>
      </w:pPr>
      <w:r>
        <w:rPr>
          <w:rtl w:val="false"/>
        </w:rPr>
        <w:t xml:space="preserve">The Subcontractor performs </w:t>
      </w:r>
      <w:r>
        <w:rPr>
          <w:highlight w:val="yellow"/>
          <w:rtl w:val="false"/>
        </w:rPr>
        <w:t xml:space="preserve">[</w:t>
      </w:r>
      <w:r>
        <w:rPr>
          <w:highlight w:val="yellow"/>
          <w:rtl w:val="false"/>
        </w:rPr>
        <w:t xml:space="preserve">subcontracted part</w:t>
      </w:r>
      <w:r>
        <w:rPr>
          <w:highlight w:val="yellow"/>
          <w:rtl w:val="false"/>
        </w:rPr>
        <w:t xml:space="preserve">]</w:t>
      </w:r>
      <w:r>
        <w:rPr>
          <w:rtl w:val="false"/>
        </w:rPr>
        <w:t xml:space="preserve"> to specification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and programme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It complies with the Main Contract terms expressly flowed down in Schedule (1), only to the extent they may be disclosed.</w:t>
      </w:r>
    </w:p>
    <w:p>
      <w:pPr>
        <w:pStyle w:val="Heading1"/>
        <w:bidi w:val="false"/>
      </w:pPr>
      <w:r>
        <w:rPr>
          <w:rtl w:val="false"/>
        </w:rPr>
        <w:t xml:space="preserve">Clause (3): Price and payment</w:t>
      </w:r>
    </w:p>
    <w:p>
      <w:pPr>
        <w:bidi w:val="false"/>
      </w:pPr>
      <w:r>
        <w:rPr>
          <w:rtl w:val="false"/>
        </w:rPr>
        <w:t xml:space="preserve">The Subcontractor’s fee is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w:t>
      </w:r>
      <w:r>
        <w:rPr>
          <w:highlight w:val="yellow"/>
          <w:rtl w:val="false"/>
        </w:rPr>
        <w:t xml:space="preserve">[</w:t>
      </w:r>
      <w:r>
        <w:rPr>
          <w:highlight w:val="yellow"/>
          <w:rtl w:val="false"/>
        </w:rPr>
        <w:t xml:space="preserve">inclusive / exclusive</w:t>
      </w:r>
      <w:r>
        <w:rPr>
          <w:highlight w:val="yellow"/>
          <w:rtl w:val="false"/>
        </w:rPr>
        <w:t xml:space="preserve">]</w:t>
      </w:r>
      <w:r>
        <w:rPr>
          <w:rtl w:val="false"/>
        </w:rPr>
        <w:t xml:space="preserve"> of VAT. Payment: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on </w:t>
      </w:r>
      <w:r>
        <w:rPr>
          <w:highlight w:val="yellow"/>
          <w:rtl w:val="false"/>
        </w:rPr>
        <w:t xml:space="preserve">[</w:t>
      </w:r>
      <w:r>
        <w:rPr>
          <w:highlight w:val="yellow"/>
          <w:rtl w:val="false"/>
        </w:rPr>
        <w:t xml:space="preserve">milestone / monthly invoice</w:t>
      </w:r>
      <w:r>
        <w:rPr>
          <w:highlight w:val="yellow"/>
          <w:rtl w:val="false"/>
        </w:rPr>
        <w:t xml:space="preserve">]</w:t>
      </w:r>
      <w:r>
        <w:rPr>
          <w:rtl w:val="false"/>
        </w:rPr>
        <w:t xml:space="preserve">. No tax rate is hard-coded in this file.</w:t>
      </w:r>
    </w:p>
    <w:p>
      <w:pPr>
        <w:pStyle w:val="Heading1"/>
        <w:bidi w:val="false"/>
      </w:pPr>
      <w:r>
        <w:rPr>
          <w:rtl w:val="false"/>
        </w:rPr>
        <w:t xml:space="preserve">Clause (4): Time and delivery</w:t>
      </w:r>
    </w:p>
    <w:p>
      <w:pPr>
        <w:bidi w:val="false"/>
      </w:pPr>
      <w:r>
        <w:rPr>
          <w:rtl w:val="false"/>
        </w:rPr>
        <w:t xml:space="preserve">Work starts on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and ends on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or on </w:t>
      </w:r>
      <w:r>
        <w:rPr>
          <w:highlight w:val="yellow"/>
          <w:rtl w:val="false"/>
        </w:rPr>
        <w:t xml:space="preserve">[</w:t>
      </w:r>
      <w:r>
        <w:rPr>
          <w:highlight w:val="yellow"/>
          <w:rtl w:val="false"/>
        </w:rPr>
        <w:t xml:space="preserve">substantial completion / sectional handover</w:t>
      </w:r>
      <w:r>
        <w:rPr>
          <w:highlight w:val="yellow"/>
          <w:rtl w:val="false"/>
        </w:rPr>
        <w:t xml:space="preserve">]</w:t>
      </w:r>
      <w:r>
        <w:rPr>
          <w:rtl w:val="false"/>
        </w:rPr>
        <w:t xml:space="preserve">. Subcontractor delay is dealt with in clause (8).</w:t>
      </w:r>
    </w:p>
    <w:p>
      <w:pPr>
        <w:pStyle w:val="Heading1"/>
        <w:bidi w:val="false"/>
      </w:pPr>
      <w:r>
        <w:rPr>
          <w:rtl w:val="false"/>
        </w:rPr>
        <w:t xml:space="preserve">Clause (5): Warranty and defects</w:t>
      </w:r>
    </w:p>
    <w:p>
      <w:pPr>
        <w:bidi w:val="false"/>
      </w:pPr>
      <w:r>
        <w:rPr>
          <w:rtl w:val="false"/>
        </w:rPr>
        <w:t xml:space="preserve">The Subcontractor warrants the works for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from acceptance. It remedies a defect within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days of notice.</w:t>
      </w:r>
    </w:p>
    <w:p>
      <w:pPr>
        <w:pStyle w:val="Heading1"/>
        <w:bidi w:val="false"/>
      </w:pPr>
      <w:r>
        <w:rPr>
          <w:rtl w:val="false"/>
        </w:rPr>
        <w:t xml:space="preserve">Clause (6): Further subcontracting</w:t>
      </w:r>
    </w:p>
    <w:p>
      <w:pPr>
        <w:bidi w:val="false"/>
      </w:pPr>
      <w:r>
        <w:rPr>
          <w:rtl w:val="false"/>
        </w:rPr>
        <w:t xml:space="preserve">The Subcontractor does not subcontract any part without the Main Contractor’s written consent. The Subcontractor remains liable for anyone it appoints.</w:t>
      </w:r>
    </w:p>
    <w:p>
      <w:pPr>
        <w:pStyle w:val="Heading1"/>
        <w:bidi w:val="false"/>
      </w:pPr>
      <w:r>
        <w:rPr>
          <w:rtl w:val="false"/>
        </w:rPr>
        <w:t xml:space="preserve">Clause (7): Liability to the employer</w:t>
      </w:r>
    </w:p>
    <w:p>
      <w:pPr>
        <w:bidi w:val="false"/>
      </w:pPr>
      <w:r>
        <w:rPr>
          <w:rtl w:val="false"/>
        </w:rPr>
        <w:t xml:space="preserve">The Subcontractor acknowledges that it has no direct claim against the employer unless the Main Contractor expressly assigned the right.</w:t>
      </w:r>
      <w:r>
        <w:rPr>
          <w:rtl w:val="false"/>
        </w:rPr>
        <w:t xml:space="preserve"> The Subcontractor indemnifies the Main Contractor for loss caused by the Subcontractor’s breach towards the employer, capped at </w:t>
      </w:r>
      <w:r>
        <w:rPr>
          <w:highlight w:val="yellow"/>
          <w:rtl w:val="false"/>
        </w:rPr>
        <w:t xml:space="preserve">[</w:t>
      </w:r>
      <w:r>
        <w:rPr>
          <w:highlight w:val="yellow"/>
          <w:rtl w:val="false"/>
        </w:rPr>
        <w:t xml:space="preserve">●</w:t>
      </w:r>
      <w:r>
        <w:rPr>
          <w:highlight w:val="yellow"/>
          <w:rtl w:val="false"/>
        </w:rPr>
        <w:t xml:space="preserve">]</w:t>
      </w:r>
      <w:r>
        <w:rPr>
          <w:rtl w:val="false"/>
        </w:rPr>
        <w:t xml:space="preserve">.</w:t>
      </w:r>
    </w:p>
    <w:p>
      <w:pPr>
        <w:pStyle w:val="Heading1"/>
        <w:bidi w:val="false"/>
      </w:pPr>
      <w:r>
        <w:rPr>
          <w:rtl w:val="false"/>
        </w:rPr>
        <w:t xml:space="preserve">Clause (8): Delay and liquidated damages</w:t>
      </w:r>
    </w:p>
    <w:p>
      <w:pPr>
        <w:bidi w:val="false"/>
      </w:pPr>
      <w:r>
        <w:rPr>
          <w:rtl w:val="false"/>
        </w:rPr>
        <w:t xml:space="preserve">On delay the Subcontractor pays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per </w:t>
      </w:r>
      <w:r>
        <w:rPr>
          <w:highlight w:val="yellow"/>
          <w:rtl w:val="false"/>
        </w:rPr>
        <w:t xml:space="preserve">[</w:t>
      </w:r>
      <w:r>
        <w:rPr>
          <w:highlight w:val="yellow"/>
          <w:rtl w:val="false"/>
        </w:rPr>
        <w:t xml:space="preserve">day / week</w:t>
      </w:r>
      <w:r>
        <w:rPr>
          <w:highlight w:val="yellow"/>
          <w:rtl w:val="false"/>
        </w:rPr>
        <w:t xml:space="preserve">]</w:t>
      </w:r>
      <w:r>
        <w:rPr>
          <w:rtl w:val="false"/>
        </w:rPr>
        <w:t xml:space="preserve">, unless the delay is caused by the Main Contractor or force majeure. See </w:t>
      </w:r>
      <w:hyperlink w:history="1" r:id="rIdoixwbphcdg4_aq6t94tze">
        <w:r>
          <w:rPr>
            <w:rStyle w:val="Hyperlink"/>
            <w:rtl w:val="false"/>
          </w:rPr>
          <w:t xml:space="preserve">penalty clause</w:t>
        </w:r>
      </w:hyperlink>
      <w:r>
        <w:rPr>
          <w:rtl w:val="false"/>
        </w:rPr>
        <w:t xml:space="preserve"> before fixing a sum.</w:t>
      </w:r>
    </w:p>
    <w:p>
      <w:pPr>
        <w:pStyle w:val="Heading1"/>
        <w:bidi w:val="false"/>
      </w:pPr>
      <w:r>
        <w:rPr>
          <w:rtl w:val="false"/>
        </w:rPr>
        <w:t xml:space="preserve">Clause (9): Force majeure and hardship</w:t>
      </w:r>
    </w:p>
    <w:p>
      <w:pPr>
        <w:bidi w:val="false"/>
      </w:pPr>
      <w:r>
        <w:rPr>
          <w:rtl w:val="false"/>
        </w:rPr>
        <w:t xml:space="preserve">Force majeure follows </w:t>
      </w:r>
      <w:hyperlink w:history="1" r:id="rId4b-71l_36qlrwy1qfxm4i">
        <w:r>
          <w:rPr>
            <w:rStyle w:val="Hyperlink"/>
            <w:rtl w:val="false"/>
          </w:rPr>
          <w:t xml:space="preserve">force majeure</w:t>
        </w:r>
      </w:hyperlink>
      <w:r>
        <w:rPr>
          <w:rtl w:val="false"/>
        </w:rPr>
        <w:t xml:space="preserve">. If exceptional general circumstances arise, either party may request rebalancing under the law in force.</w:t>
      </w:r>
      <w:r>
        <w:rPr>
          <w:rtl w:val="false"/>
        </w:rPr>
        <w:t xml:space="preserve"> See </w:t>
      </w:r>
      <w:hyperlink w:history="1" r:id="rIdsx8c2qymsthpzctabcokl">
        <w:r>
          <w:rPr>
            <w:rStyle w:val="Hyperlink"/>
            <w:rtl w:val="false"/>
          </w:rPr>
          <w:t xml:space="preserve">hardship</w:t>
        </w:r>
      </w:hyperlink>
      <w:r>
        <w:rPr>
          <w:rtl w:val="false"/>
        </w:rPr>
        <w:t xml:space="preserve">.</w:t>
      </w:r>
    </w:p>
    <w:p>
      <w:pPr>
        <w:pStyle w:val="Heading1"/>
        <w:bidi w:val="false"/>
      </w:pPr>
      <w:r>
        <w:rPr>
          <w:rtl w:val="false"/>
        </w:rPr>
        <w:t xml:space="preserve">Clause (10): Termination</w:t>
      </w:r>
    </w:p>
    <w:p>
      <w:pPr>
        <w:bidi w:val="false"/>
      </w:pPr>
      <w:r>
        <w:rPr>
          <w:rtl w:val="false"/>
        </w:rPr>
        <w:t xml:space="preserve">Ends on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days’ written notice, or immediately on a material breach not cured within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days, or if the Main Contract ends or is cancelled.</w:t>
      </w:r>
    </w:p>
    <w:p>
      <w:pPr>
        <w:pStyle w:val="Heading1"/>
        <w:bidi w:val="false"/>
      </w:pPr>
      <w:r>
        <w:rPr>
          <w:rtl w:val="false"/>
        </w:rPr>
        <w:t xml:space="preserve">Clause (11): Law and dispute</w:t>
      </w:r>
    </w:p>
    <w:p>
      <w:pPr>
        <w:bidi w:val="false"/>
      </w:pPr>
      <w:r>
        <w:rPr>
          <w:rtl w:val="false"/>
        </w:rPr>
        <w:t xml:space="preserve">Governed by the laws of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and the courts of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or </w:t>
      </w:r>
      <w:hyperlink w:history="1" r:id="rIdhhjeekk8t0a7db8bfqous">
        <w:r>
          <w:rPr>
            <w:rStyle w:val="Hyperlink"/>
            <w:rtl w:val="false"/>
          </w:rPr>
          <w:t xml:space="preserve">arbitration</w:t>
        </w:r>
      </w:hyperlink>
      <w:r>
        <w:rPr>
          <w:rtl w:val="false"/>
        </w:rPr>
        <w:t xml:space="preserve"> in </w:t>
      </w:r>
      <w:r>
        <w:rPr>
          <w:highlight w:val="yellow"/>
          <w:rtl w:val="false"/>
        </w:rPr>
        <w:t xml:space="preserve">[</w:t>
      </w:r>
      <w:r>
        <w:rPr>
          <w:highlight w:val="yellow"/>
          <w:rtl w:val="false"/>
        </w:rPr>
        <w:t xml:space="preserve">●</w:t>
      </w:r>
      <w:r>
        <w:rPr>
          <w:highlight w:val="yellow"/>
          <w:rtl w:val="false"/>
        </w:rPr>
        <w:t xml:space="preserve">]</w:t>
      </w:r>
      <w:r>
        <w:rPr>
          <w:rtl w:val="false"/>
        </w:rPr>
        <w:t xml:space="preserve">.</w:t>
      </w:r>
    </w:p>
    <w:p>
      <w:pPr>
        <w:pStyle w:val="Heading1"/>
        <w:bidi w:val="false"/>
      </w:pPr>
      <w:r>
        <w:rPr>
          <w:rtl w:val="false"/>
        </w:rPr>
        <w:t xml:space="preserve">Clause (12): Signatures</w:t>
      </w:r>
    </w:p>
    <w:p>
      <w:pPr>
        <w:bidi w:val="false"/>
      </w:pPr>
      <w:r>
        <w:rPr>
          <w:rtl w:val="false"/>
        </w:rPr>
        <w:t xml:space="preserve">Signed: Main Contractor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Subcontractor </w:t>
      </w:r>
      <w:r>
        <w:rPr>
          <w:highlight w:val="yellow"/>
          <w:rtl w:val="false"/>
        </w:rPr>
        <w:t xml:space="preserve">[</w:t>
      </w:r>
      <w:r>
        <w:rPr>
          <w:highlight w:val="yellow"/>
          <w:rtl w:val="false"/>
        </w:rPr>
        <w:t xml:space="preserve">●</w:t>
      </w:r>
      <w:r>
        <w:rPr>
          <w:highlight w:val="yellow"/>
          <w:rtl w:val="false"/>
        </w:rPr>
        <w:t xml:space="preserve">]</w:t>
      </w:r>
      <w:r>
        <w:rPr>
          <w:rtl w:val="false"/>
        </w:rPr>
        <w:t xml:space="preserve">.</w:t>
      </w:r>
    </w:p>
    <w:p>
      <w:pPr>
        <w:pStyle w:val="Heading1"/>
        <w:pageBreakBefore/>
        <w:bidi w:val="false"/>
      </w:pPr>
      <w:r>
        <w:rPr>
          <w:rtl w:val="false"/>
        </w:rPr>
        <w:t xml:space="preserve">Saudi Arabia notes</w:t>
      </w:r>
    </w:p>
    <w:p>
      <w:pPr>
        <w:bidi w:val="false"/>
      </w:pPr>
      <w:r>
        <w:rPr>
          <w:rtl w:val="false"/>
        </w:rPr>
        <w:t xml:space="preserve">Civil Transactions Law.</w:t>
      </w:r>
      <w:r>
        <w:rPr>
          <w:rtl w:val="false"/>
        </w:rPr>
        <w:t xml:space="preserve"> [1]</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Topic</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Text</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Subcontracting</w:t>
            </w:r>
          </w:p>
        </w:tc>
        <w:tc>
          <w:tcPr>
            <w:tcMar>
              <w:top w:type="dxa" w:w="80"/>
              <w:left w:type="dxa" w:w="100"/>
              <w:bottom w:type="dxa" w:w="80"/>
              <w:right w:type="dxa" w:w="100"/>
            </w:tcMar>
          </w:tcPr>
          <w:p>
            <w:pPr>
              <w:bidi w:val="false"/>
              <w:spacing w:after="0"/>
            </w:pPr>
            <w:r>
              <w:rPr>
                <w:b w:val="false"/>
                <w:sz w:val="18"/>
                <w:szCs w:val="18"/>
                <w:rtl w:val="false"/>
              </w:rPr>
              <w:t xml:space="preserve">The contractor may subcontract all or part of the work unless the law, the contract, the nature of the work or the contractor’s personal skill rules it out, and the contractor stays liable to the employer (Article 473).</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Subcontractor’s claim</w:t>
            </w:r>
          </w:p>
        </w:tc>
        <w:tc>
          <w:tcPr>
            <w:tcMar>
              <w:top w:type="dxa" w:w="80"/>
              <w:left w:type="dxa" w:w="100"/>
              <w:bottom w:type="dxa" w:w="80"/>
              <w:right w:type="dxa" w:w="100"/>
            </w:tcMar>
          </w:tcPr>
          <w:p>
            <w:pPr>
              <w:bidi w:val="false"/>
              <w:spacing w:after="0"/>
            </w:pPr>
            <w:r>
              <w:rPr>
                <w:b w:val="false"/>
                <w:sz w:val="18"/>
                <w:szCs w:val="18"/>
                <w:rtl w:val="false"/>
              </w:rPr>
              <w:t xml:space="preserve">The subcontractor has no direct claim against the employer unless the main contractor assigned the right (Article 474).</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Exceptional circumstances</w:t>
            </w:r>
          </w:p>
        </w:tc>
        <w:tc>
          <w:tcPr>
            <w:tcMar>
              <w:top w:type="dxa" w:w="80"/>
              <w:left w:type="dxa" w:w="100"/>
              <w:bottom w:type="dxa" w:w="80"/>
              <w:right w:type="dxa" w:w="100"/>
            </w:tcMar>
          </w:tcPr>
          <w:p>
            <w:pPr>
              <w:bidi w:val="false"/>
              <w:spacing w:after="0"/>
            </w:pPr>
            <w:r>
              <w:rPr>
                <w:b w:val="false"/>
                <w:sz w:val="18"/>
                <w:szCs w:val="18"/>
                <w:rtl w:val="false"/>
              </w:rPr>
              <w:t xml:space="preserve">Exceptional general circumstances may open a request to rebalance (Article 471).</w:t>
            </w:r>
            <w:r>
              <w:rPr>
                <w:b w:val="false"/>
                <w:sz w:val="18"/>
                <w:szCs w:val="18"/>
                <w:rtl w:val="false"/>
              </w:rPr>
              <w:t xml:space="preserve"> [1]</w:t>
            </w:r>
          </w:p>
        </w:tc>
      </w:tr>
    </w:tbl>
    <w:p>
      <w:pPr>
        <w:bidi w:val="false"/>
      </w:pPr>
    </w:p>
    <w:p>
      <w:pPr>
        <w:pStyle w:val="Heading1"/>
        <w:pageBreakBefore/>
        <w:bidi w:val="false"/>
      </w:pPr>
      <w:r>
        <w:rPr>
          <w:rtl w:val="false"/>
        </w:rPr>
        <w:t xml:space="preserve">United Arab Emirates notes</w:t>
      </w:r>
    </w:p>
    <w:p>
      <w:pPr>
        <w:bidi w:val="false"/>
      </w:pPr>
      <w:r>
        <w:rPr>
          <w:rtl w:val="false"/>
        </w:rPr>
        <w:t xml:space="preserve">Federal Decree-Law No. 25 of 2025, in force 1 June 2026.</w:t>
      </w:r>
      <w:r>
        <w:rPr>
          <w:rtl w:val="false"/>
        </w:rPr>
        <w:t xml:space="preserve"> [2]</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Topic</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Text</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Subcontracting</w:t>
            </w:r>
          </w:p>
        </w:tc>
        <w:tc>
          <w:tcPr>
            <w:tcMar>
              <w:top w:type="dxa" w:w="80"/>
              <w:left w:type="dxa" w:w="100"/>
              <w:bottom w:type="dxa" w:w="80"/>
              <w:right w:type="dxa" w:w="100"/>
            </w:tcMar>
          </w:tcPr>
          <w:p>
            <w:pPr>
              <w:bidi w:val="false"/>
              <w:spacing w:after="0"/>
            </w:pPr>
            <w:r>
              <w:rPr>
                <w:b w:val="false"/>
                <w:sz w:val="18"/>
                <w:szCs w:val="18"/>
                <w:rtl w:val="false"/>
              </w:rPr>
              <w:t xml:space="preserve">Under review. No article number in this file.</w:t>
            </w:r>
            <w:r>
              <w:rPr>
                <w:b w:val="false"/>
                <w:sz w:val="18"/>
                <w:szCs w:val="18"/>
                <w:rtl w:val="false"/>
              </w:rPr>
              <w:t xml:space="preserve"> [2]</w:t>
            </w:r>
          </w:p>
        </w:tc>
      </w:tr>
    </w:tbl>
    <w:p>
      <w:pPr>
        <w:bidi w:val="false"/>
      </w:pPr>
    </w:p>
    <w:p>
      <w:pPr>
        <w:pStyle w:val="Heading1"/>
        <w:bidi w:val="false"/>
      </w:pPr>
      <w:r>
        <w:rPr>
          <w:rtl w:val="false"/>
        </w:rPr>
        <w:t xml:space="preserve">Bahrain, Qatar, Kuwait and Oman</w:t>
      </w:r>
    </w:p>
    <w:p>
      <w:pPr>
        <w:pStyle w:val="ListParagraph"/>
        <w:numPr>
          <w:ilvl w:val="0"/>
          <w:numId w:val="2"/>
        </w:numPr>
        <w:bidi w:val="false"/>
      </w:pPr>
      <w:r>
        <w:rPr>
          <w:rtl w:val="false"/>
        </w:rPr>
        <w:t xml:space="preserve">Bahrain: under review. No article number for subcontracting on this page.</w:t>
      </w:r>
    </w:p>
    <w:p>
      <w:pPr>
        <w:pStyle w:val="ListParagraph"/>
        <w:numPr>
          <w:ilvl w:val="0"/>
          <w:numId w:val="2"/>
        </w:numPr>
        <w:bidi w:val="false"/>
      </w:pPr>
      <w:r>
        <w:rPr>
          <w:rtl w:val="false"/>
        </w:rPr>
        <w:t xml:space="preserve">Qatar: under review. No article number.</w:t>
      </w:r>
    </w:p>
    <w:p>
      <w:pPr>
        <w:pStyle w:val="ListParagraph"/>
        <w:numPr>
          <w:ilvl w:val="0"/>
          <w:numId w:val="2"/>
        </w:numPr>
        <w:bidi w:val="false"/>
      </w:pPr>
      <w:r>
        <w:rPr>
          <w:rtl w:val="false"/>
        </w:rPr>
        <w:t xml:space="preserve">Kuwait: under review. No article number.</w:t>
      </w:r>
    </w:p>
    <w:p>
      <w:pPr>
        <w:pStyle w:val="ListParagraph"/>
        <w:numPr>
          <w:ilvl w:val="0"/>
          <w:numId w:val="2"/>
        </w:numPr>
        <w:bidi w:val="false"/>
      </w:pPr>
      <w:r>
        <w:rPr>
          <w:rtl w:val="false"/>
        </w:rPr>
        <w:t xml:space="preserve">Oman: under review. No article number for subcontracting in this round.</w:t>
      </w:r>
    </w:p>
    <w:p>
      <w:pPr>
        <w:pStyle w:val="Heading1"/>
        <w:pageBreakBefore/>
        <w:bidi w:val="false"/>
      </w:pPr>
      <w:r>
        <w:rPr>
          <w:rtl w:val="false"/>
        </w:rPr>
        <w:t xml:space="preserve">About this template</w:t>
      </w:r>
    </w:p>
    <w:p>
      <w:pPr>
        <w:bidi w:val="false"/>
      </w:pPr>
      <w:r>
        <w:rPr>
          <w:rtl w:val="false"/>
        </w:rPr>
        <w:t xml:space="preserve">This is a template, not legal advice. It does not create a lawyer–client relationship. Court rules, regulator guidance and laws change; check the official sources linked and have the contract reviewed by qualified counsel in each relevant jurisdiction. Last reviewed: 22 October 2026. Have it reviewed by a lawyer licensed in your jurisdiction before use. Where an official form or platform is mandatory, it prevails.</w:t>
      </w:r>
    </w:p>
    <w:p>
      <w:pPr>
        <w:bidi w:val="false"/>
      </w:pPr>
      <w:r>
        <w:rPr>
          <w:b/>
          <w:bCs/>
          <w:rtl w:val="false"/>
        </w:rPr>
        <w:t xml:space="preserve">How we prepared this template:</w:t>
      </w:r>
      <w:r>
        <w:rPr>
          <w:rtl w:val="false"/>
        </w:rPr>
        <w:t xml:space="preserve"> we drafted it from the official legislation and government platforms listed under Sources, and checked each legal statement against the official text on the review date. Where an official form or platform exists, we link to it and you should use it. Laws change; check the sources before use and have the final text reviewed by a licensed lawyer.</w:t>
      </w:r>
    </w:p>
    <w:p>
      <w:pPr>
        <w:bidi w:val="false"/>
      </w:pPr>
      <w:r>
        <w:rPr>
          <w:rtl w:val="false"/>
        </w:rPr>
        <w:t xml:space="preserve">The text of this page and the .docx downloads are licensed under </w:t>
      </w:r>
      <w:hyperlink w:history="1" r:id="rIdrcmgi0p1eednpsjg0owdc">
        <w:r>
          <w:rPr>
            <w:rStyle w:val="Hyperlink"/>
            <w:rtl w:val="false"/>
          </w:rPr>
          <w:t xml:space="preserve">Creative Commons Attribution 4.0 International (CC BY 4.0)</w:t>
        </w:r>
      </w:hyperlink>
      <w:r>
        <w:rPr>
          <w:rtl w:val="false"/>
        </w:rPr>
        <w:t xml:space="preserve">. The Qanu name and logo are not covered by the licence.</w:t>
      </w:r>
    </w:p>
    <w:p>
      <w:pPr>
        <w:bidi w:val="false"/>
      </w:pPr>
      <w:r>
        <w:rPr>
          <w:rtl w:val="false"/>
        </w:rPr>
        <w:t xml:space="preserve">Source: https://www.qanu.ai/en/templates/subcontract-agreement · Last reviewed: 22 October 2026 · Not legal advice · CC BY 4.0</w:t>
      </w:r>
    </w:p>
    <w:p>
      <w:pPr>
        <w:pStyle w:val="Heading2"/>
        <w:bidi w:val="false"/>
      </w:pPr>
      <w:r>
        <w:rPr>
          <w:rtl w:val="false"/>
        </w:rPr>
        <w:t xml:space="preserve">Sources</w:t>
      </w:r>
    </w:p>
    <w:p>
      <w:pPr>
        <w:bidi w:val="false"/>
        <w:ind w:start="360" w:hanging="360"/>
      </w:pPr>
      <w:r>
        <w:rPr>
          <w:sz w:val="18"/>
          <w:szCs w:val="18"/>
          <w:rtl w:val="false"/>
        </w:rPr>
        <w:t xml:space="preserve">[1] Bureau of Experts, Civil Transactions Law (Royal Decree No. M/191 of 29/11/1444H) </w:t>
      </w:r>
      <w:hyperlink w:history="1" r:id="rId4gwtyvi1ygh1htvpk8hxk">
        <w:r>
          <w:rPr>
            <w:rStyle w:val="Hyperlink"/>
            <w:sz w:val="16"/>
            <w:szCs w:val="16"/>
          </w:rPr>
          <w:t xml:space="preserve">https://laws.boe.gov.sa/BoeLaws/Laws/LawDetails/655fdb42-8c96-422b-b8c4-b04f0095c94c/1</w:t>
        </w:r>
      </w:hyperlink>
    </w:p>
    <w:p>
      <w:pPr>
        <w:bidi w:val="false"/>
        <w:ind w:start="360" w:hanging="360"/>
      </w:pPr>
      <w:r>
        <w:rPr>
          <w:sz w:val="18"/>
          <w:szCs w:val="18"/>
          <w:rtl w:val="false"/>
        </w:rPr>
        <w:t xml:space="preserve">[2] UAE Legislation, Federal Decree-Law No. 25 of 2025 (Civil Transactions Law) </w:t>
      </w:r>
      <w:hyperlink w:history="1" r:id="rIdqmvbo1ilzq3cnonrsqzln">
        <w:r>
          <w:rPr>
            <w:rStyle w:val="Hyperlink"/>
            <w:sz w:val="16"/>
            <w:szCs w:val="16"/>
          </w:rPr>
          <w:t xml:space="preserve">https://uaelegislation.gov.ae/en/legislations/4011</w:t>
        </w:r>
      </w:hyperlink>
    </w:p>
    <w:sectPr>
      <w:headerReference w:type="default" r:id="rId6"/>
      <w:headerReference w:type="first" r:id="rId7"/>
      <w:footerReference w:type="default" r:id="rId8"/>
      <w:footerReference w:type="first" r:id="rId9"/>
      <w:pgSz w:w="11906" w:h="16838" w:orient="portrait"/>
      <w:pgMar w:top="1300" w:right="1200" w:bottom="1100" w:left="1200" w:header="500" w:footer="50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r>
    <w:r>
      <w:rPr>
        <w:color w:val="555555"/>
        <w:sz w:val="16"/>
        <w:szCs w:val="16"/>
        <w:rtl w:val="false"/>
      </w:rPr>
      <w:instrText xml:space="preserve">PAGE</w:instrText>
    </w:r>
    <w:r>
      <w:rPr>
        <w:color w:val="555555"/>
        <w:sz w:val="16"/>
        <w:szCs w:val="16"/>
        <w:rtl w:val="false"/>
      </w:rPr>
      <w:fldChar w:fldCharType="separate"/>
    </w:r>
    <w:r>
      <w:rPr>
        <w:color w:val="555555"/>
        <w:sz w:val="16"/>
        <w:szCs w:val="16"/>
        <w:rtl w:val="false"/>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r>
    <w:r>
      <w:rPr>
        <w:color w:val="555555"/>
        <w:sz w:val="16"/>
        <w:szCs w:val="16"/>
        <w:rtl w:val="false"/>
      </w:rPr>
      <w:instrText xml:space="preserve">PAGE</w:instrText>
    </w:r>
    <w:r>
      <w:rPr>
        <w:color w:val="555555"/>
        <w:sz w:val="16"/>
        <w:szCs w:val="16"/>
        <w:rtl w:val="false"/>
      </w:rPr>
      <w:fldChar w:fldCharType="separate"/>
    </w:r>
    <w:r>
      <w:rPr>
        <w:color w:val="555555"/>
        <w:sz w:val="16"/>
        <w:szCs w:val="16"/>
        <w:rtl w:val="fals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pPr>
    <w:r>
      <w:rPr>
        <w:color w:val="555555"/>
        <w:sz w:val="16"/>
        <w:szCs w:val="16"/>
        <w:rtl w:val="false"/>
      </w:rPr>
      <w:t xml:space="preserve">Template – not legal advice – Qanu – last reviewed 22 October 2026 – https://www.qanu.ai/en/templates/subcontract-agreement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val="false"/>
    </w:pPr>
    <w:r>
      <w:rPr>
        <w:color w:val="555555"/>
        <w:sz w:val="16"/>
        <w:szCs w:val="16"/>
        <w:rtl w:val="false"/>
      </w:rPr>
      <w:t xml:space="preserve">Template – not legal advice – Qanu – last reviewed 22 October 2026 – https://www.qanu.ai/en/templates/subcontract-agreement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 w:numId="2">
    <w:abstractNumId w:val="2"/>
    <w:lvlOverride w:ilvl="0">
      <w:startOverride w:val="1"/>
    </w:lvlOverride>
    <w:lvlOverride w:ilvl="1">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IBM Plex Sans Arabic" w:eastAsia="Calibri" w:hAnsi="Calibri"/>
        <w:sz w:val="21"/>
        <w:szCs w:val="21"/>
        <w:lang w:val="en-GB"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Calibri" w:cs="IBM Plex Sans Arabic" w:eastAsia="Calibri" w:hAnsi="Calibri"/>
      <w:b/>
      <w:bCs/>
      <w:color w:val="111111"/>
      <w:sz w:val="36"/>
      <w:szCs w:val="36"/>
    </w:rPr>
  </w:style>
  <w:style w:type="paragraph" w:styleId="Heading1">
    <w:name w:val="Heading 1"/>
    <w:basedOn w:val="Normal"/>
    <w:next w:val="Normal"/>
    <w:qFormat/>
    <w:pPr>
      <w:keepNext/>
      <w:spacing w:after="120" w:before="320"/>
    </w:pPr>
    <w:rPr>
      <w:rFonts w:ascii="Calibri" w:cs="IBM Plex Sans Arabic" w:eastAsia="Calibri" w:hAnsi="Calibri"/>
      <w:b/>
      <w:bCs/>
      <w:color w:val="111111"/>
      <w:sz w:val="26"/>
      <w:szCs w:val="26"/>
    </w:rPr>
  </w:style>
  <w:style w:type="paragraph" w:styleId="Heading2">
    <w:name w:val="Heading 2"/>
    <w:basedOn w:val="Normal"/>
    <w:next w:val="Normal"/>
    <w:qFormat/>
    <w:pPr>
      <w:keepNext/>
      <w:spacing w:after="120" w:before="240"/>
    </w:pPr>
    <w:rPr>
      <w:rFonts w:ascii="Calibri" w:cs="IBM Plex Sans Arabic" w:eastAsia="Calibri" w:hAnsi="Calibri"/>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k2izhjfvwee-jrpaxeyt3" Type="http://schemas.openxmlformats.org/officeDocument/2006/relationships/hyperlink" Target="https://laws.boe.gov.sa/BoeLaws/Laws/LawDetails/655fdb42-8c96-422b-b8c4-b04f0095c94c/1" TargetMode="External"/><Relationship Id="rIdk0dbwdf6zl2yi_u5ai8lf" Type="http://schemas.openxmlformats.org/officeDocument/2006/relationships/hyperlink" Target="https://uaelegislation.gov.ae/en/legislations/4011" TargetMode="External"/><Relationship Id="rIdoixwbphcdg4_aq6t94tze" Type="http://schemas.openxmlformats.org/officeDocument/2006/relationships/hyperlink" Target="https://www.qanu.ai/en/glossary/penalty-clause" TargetMode="External"/><Relationship Id="rId4b-71l_36qlrwy1qfxm4i" Type="http://schemas.openxmlformats.org/officeDocument/2006/relationships/hyperlink" Target="https://www.qanu.ai/en/glossary/force-majeure" TargetMode="External"/><Relationship Id="rIdsx8c2qymsthpzctabcokl" Type="http://schemas.openxmlformats.org/officeDocument/2006/relationships/hyperlink" Target="https://www.qanu.ai/en/glossary/hardship" TargetMode="External"/><Relationship Id="rIdhhjeekk8t0a7db8bfqous" Type="http://schemas.openxmlformats.org/officeDocument/2006/relationships/hyperlink" Target="https://www.qanu.ai/en/glossary/arbitration" TargetMode="External"/><Relationship Id="rIdrcmgi0p1eednpsjg0owdc" Type="http://schemas.openxmlformats.org/officeDocument/2006/relationships/hyperlink" Target="https://creativecommons.org/licenses/by/4.0/deed.en" TargetMode="External"/><Relationship Id="rId4gwtyvi1ygh1htvpk8hxk" Type="http://schemas.openxmlformats.org/officeDocument/2006/relationships/hyperlink" Target="https://laws.boe.gov.sa/BoeLaws/Laws/LawDetails/655fdb42-8c96-422b-b8c4-b04f0095c94c/1" TargetMode="External"/><Relationship Id="rIdqmvbo1ilzq3cnonrsqzln" Type="http://schemas.openxmlformats.org/officeDocument/2006/relationships/hyperlink" Target="https://uaelegislation.gov.ae/en/legislations/4011" TargetMode="External"/><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Subcontract agreement template</dc:title>
  <dc:creator>Qanu</dc:creator>
  <cp:keywords>Subcontract agreement, Muqawala, GCC</cp:keywords>
  <dc:description>This is a template, not legal advice. It does not create a lawyer–client relationship. Court rules, regulator guidance and laws change; check the official sources linked and have the contract reviewed by qualified counsel in each relevant jurisdiction. Last reviewed: 22 October 2026. Have it reviewed by a lawyer licensed in your jurisdiction before use. Where an official form or platform is mandatory, it prevails.</dc:description>
  <cp:lastModifiedBy>Qanu</cp:lastModifiedBy>
  <cp:revision>1</cp:revision>
  <dcterms:created xsi:type="dcterms:W3CDTF">2026-10-23T18:59:24.309Z</dcterms:created>
  <dcterms:modified xsi:type="dcterms:W3CDTF">2026-10-23T18:59:24.309Z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https://www.qanu.ai/en/templates/subcontract-agreement</vt:lpwstr>
  </property>
</Properties>
</file>