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غرامة التأخير والظروف الطارئة لا تُنسخ من دولة إلى أخرى.</w:t>
      </w:r>
      <w:r>
        <w:rPr>
          <w:rtl/>
        </w:rPr>
        <w:t xml:space="preserve"> في السعودية يجوز تحديد التعويض مقدماً إذا لم يكن محل الالتزام مبلغاً نقدياً، وللمحكمة إنقاصه أو زيادته، ولا يُستحق إذا أثبت المدين انتفاء الضرر.</w:t>
      </w:r>
      <w:r>
        <w:rPr>
          <w:rtl/>
        </w:rPr>
        <w:t xml:space="preserve"> [1]</w:t>
      </w:r>
      <w:r>
        <w:rPr>
          <w:rtl/>
        </w:rPr>
        <w:t xml:space="preserve"> وفي الإمارات، عند الظروف الاستثنائية العامة غير المتوقعة، يجوز للمحكمة رد الالتزام المرهق إلى الحد المعقول أو فسخ العقد، ويقع باطلاً كل اتفاق على خلاف ذلك، بموجب المادة (224) من المرسوم بقانون رقم (25) لسنة 2025 النافذ في 1 يونيو 2026.</w:t>
      </w:r>
      <w:r>
        <w:rPr>
          <w:rtl/>
        </w:rPr>
        <w:t xml:space="preserve"> [2]</w:t>
      </w:r>
      <w:r>
        <w:rPr>
          <w:rtl/>
        </w:rPr>
        <w:t xml:space="preserve"> ولا تورد هذه الصفحة رقم مادة التعويض الاتفاقي في ذلك المرسوم. وكانت المادة (390) من القانون رقم (5) لسنة 1985 تجيز تحديد التعويض مقدماً، وهي ملغاة من 1 يونيو 2026.</w:t>
      </w:r>
      <w:r>
        <w:rPr>
          <w:rtl/>
        </w:rPr>
        <w:t xml:space="preserve"> [3]</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المعاملات المدنية: </w:t>
      </w:r>
      <w:hyperlink w:history="1" r:id="rIdbendvtqqz7stnatexryes">
        <w:r>
          <w:rPr>
            <w:rStyle w:val="Hyperlink"/>
            <w:sz w:val="17"/>
            <w:szCs w:val="17"/>
          </w:rPr>
          <w:t xml:space="preserve">‪https://laws.boe.gov.sa/BoeLaws/Laws/LawDetails/655fdb42-8c96-422b-b8c4-b04f0095c94c/1‬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قانون المعاملات المدنية الإماراتي: </w:t>
      </w:r>
      <w:hyperlink w:history="1" r:id="rIdnc7dig3ddwroo6gfdmxln">
        <w:r>
          <w:rPr>
            <w:rStyle w:val="Hyperlink"/>
            <w:sz w:val="17"/>
            <w:szCs w:val="17"/>
          </w:rPr>
          <w:t xml:space="preserve">‪https://uaelegislation.gov.ae/en/legislations/4011‬</w:t>
        </w:r>
      </w:hyperlink>
    </w:p>
    <w:p>
      <w:pPr>
        <w:bidi/>
        <w:spacing w:after="240"/>
      </w:pPr>
    </w:p>
    <w:p>
      <w:pPr>
        <w:pStyle w:val="Title"/>
        <w:bidi/>
      </w:pPr>
      <w:r>
        <w:rPr>
          <w:rtl/>
        </w:rPr>
        <w:t xml:space="preserve">عقد توريد بضاعة</w:t>
      </w:r>
    </w:p>
    <w:p>
      <w:pPr>
        <w:bidi/>
        <w:spacing w:after="240"/>
      </w:pPr>
      <w:r>
        <w:rPr>
          <w:color w:val="444444"/>
          <w:rtl/>
        </w:rPr>
        <w:t xml:space="preserve">عقد إطار لتوريد بضاعة بين شركتين في دول الخليج. وهو ليس بيعاً مرة واحدة، فذلك </w:t>
      </w:r>
      <w:hyperlink w:history="1" r:id="rIdyztoulma3qla8mypa24dw">
        <w:r>
          <w:rPr>
            <w:rStyle w:val="Hyperlink"/>
            <w:color w:val="444444"/>
            <w:rtl/>
          </w:rPr>
          <w:t xml:space="preserve">عقد البيع</w:t>
        </w:r>
      </w:hyperlink>
      <w:r>
        <w:rPr>
          <w:color w:val="444444"/>
          <w:rtl/>
        </w:rPr>
        <w:t xml:space="preserve">، وليس توريد عمالة.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واحذفوا الخيار الذي لا ينطبق. هذه نقطة انطلاق، وتُراجع من محامٍ مرخّص في الدولة المعنية قبل الاستعمال.</w:t>
      </w:r>
    </w:p>
    <w:p>
      <w:pPr>
        <w:pStyle w:val="Heading1"/>
        <w:bidi/>
      </w:pPr>
      <w:r>
        <w:rPr>
          <w:rtl/>
        </w:rPr>
        <w:t xml:space="preserve">البند (1): التعريفات والمرفقات</w:t>
      </w:r>
    </w:p>
    <w:p>
      <w:pPr>
        <w:bidi/>
      </w:pPr>
      <w:r>
        <w:rPr>
          <w:rtl/>
        </w:rPr>
        <w:t xml:space="preserve">حُرر هذا العقد في </w:t>
      </w:r>
      <w:r>
        <w:rPr>
          <w:highlight w:val="yellow"/>
          <w:rtl/>
        </w:rPr>
        <w:t xml:space="preserve">[</w:t>
      </w:r>
      <w:r>
        <w:rPr>
          <w:highlight w:val="yellow"/>
          <w:rtl/>
        </w:rPr>
        <w:t xml:space="preserve">التاريخ</w:t>
      </w:r>
      <w:r>
        <w:rPr>
          <w:highlight w:val="yellow"/>
          <w:rtl/>
        </w:rPr>
        <w:t xml:space="preserve">]</w:t>
      </w:r>
      <w:r>
        <w:rPr>
          <w:rtl/>
        </w:rPr>
        <w:t xml:space="preserve"> بين </w:t>
      </w:r>
      <w:r>
        <w:rPr>
          <w:highlight w:val="yellow"/>
          <w:rtl/>
        </w:rPr>
        <w:t xml:space="preserve">[</w:t>
      </w:r>
      <w:r>
        <w:rPr>
          <w:highlight w:val="yellow"/>
          <w:rtl/>
        </w:rPr>
        <w:t xml:space="preserve">المورّد</w:t>
      </w:r>
      <w:r>
        <w:rPr>
          <w:highlight w:val="yellow"/>
          <w:rtl/>
        </w:rPr>
        <w:t xml:space="preserve">]</w:t>
      </w:r>
      <w:r>
        <w:rPr>
          <w:rtl/>
        </w:rPr>
        <w:t xml:space="preserve">، سجل </w:t>
      </w:r>
      <w:r>
        <w:rPr>
          <w:highlight w:val="yellow"/>
          <w:rtl/>
        </w:rPr>
        <w:t xml:space="preserve">[</w:t>
      </w:r>
      <w:r>
        <w:rPr>
          <w:highlight w:val="yellow"/>
          <w:rtl/>
        </w:rPr>
        <w:t xml:space="preserve">●</w:t>
      </w:r>
      <w:r>
        <w:rPr>
          <w:highlight w:val="yellow"/>
          <w:rtl/>
        </w:rPr>
        <w:t xml:space="preserve">]</w:t>
      </w:r>
      <w:r>
        <w:rPr>
          <w:rtl/>
        </w:rPr>
        <w:t xml:space="preserve"> («المورّد») و</w:t>
      </w:r>
      <w:r>
        <w:rPr>
          <w:highlight w:val="yellow"/>
          <w:rtl/>
        </w:rPr>
        <w:t xml:space="preserve">[</w:t>
      </w:r>
      <w:r>
        <w:rPr>
          <w:highlight w:val="yellow"/>
          <w:rtl/>
        </w:rPr>
        <w:t xml:space="preserve">المشتري</w:t>
      </w:r>
      <w:r>
        <w:rPr>
          <w:highlight w:val="yellow"/>
          <w:rtl/>
        </w:rPr>
        <w:t xml:space="preserve">]</w:t>
      </w:r>
      <w:r>
        <w:rPr>
          <w:rtl/>
        </w:rPr>
        <w:t xml:space="preserve">، سجل </w:t>
      </w:r>
      <w:r>
        <w:rPr>
          <w:highlight w:val="yellow"/>
          <w:rtl/>
        </w:rPr>
        <w:t xml:space="preserve">[</w:t>
      </w:r>
      <w:r>
        <w:rPr>
          <w:highlight w:val="yellow"/>
          <w:rtl/>
        </w:rPr>
        <w:t xml:space="preserve">●</w:t>
      </w:r>
      <w:r>
        <w:rPr>
          <w:highlight w:val="yellow"/>
          <w:rtl/>
        </w:rPr>
        <w:t xml:space="preserve">]</w:t>
      </w:r>
      <w:r>
        <w:rPr>
          <w:rtl/>
        </w:rPr>
        <w:t xml:space="preserve"> («المشتري»). والمرفقات: الملحق (1) الأسعار، و</w:t>
      </w:r>
      <w:r>
        <w:rPr>
          <w:highlight w:val="yellow"/>
          <w:rtl/>
        </w:rPr>
        <w:t xml:space="preserve">[</w:t>
      </w:r>
      <w:r>
        <w:rPr>
          <w:highlight w:val="yellow"/>
          <w:rtl/>
        </w:rPr>
        <w:t xml:space="preserve">المواصفات</w:t>
      </w:r>
      <w:r>
        <w:rPr>
          <w:highlight w:val="yellow"/>
          <w:rtl/>
        </w:rPr>
        <w:t xml:space="preserve">]</w:t>
      </w:r>
      <w:r>
        <w:rPr>
          <w:rtl/>
        </w:rPr>
        <w:t xml:space="preserve">، و</w:t>
      </w:r>
      <w:r>
        <w:rPr>
          <w:highlight w:val="yellow"/>
          <w:rtl/>
        </w:rPr>
        <w:t xml:space="preserve">[</w:t>
      </w:r>
      <w:r>
        <w:rPr>
          <w:highlight w:val="yellow"/>
          <w:rtl/>
        </w:rPr>
        <w:t xml:space="preserve">نموذج أمر الشراء</w:t>
      </w:r>
      <w:r>
        <w:rPr>
          <w:highlight w:val="yellow"/>
          <w:rtl/>
        </w:rPr>
        <w:t xml:space="preserve">]</w:t>
      </w:r>
      <w:r>
        <w:rPr>
          <w:rtl/>
        </w:rPr>
        <w:t xml:space="preserve">. وعند التعارض يغلب </w:t>
      </w:r>
      <w:r>
        <w:rPr>
          <w:highlight w:val="yellow"/>
          <w:rtl/>
        </w:rPr>
        <w:t xml:space="preserve">[</w:t>
      </w:r>
      <w:r>
        <w:rPr>
          <w:highlight w:val="yellow"/>
          <w:rtl/>
        </w:rPr>
        <w:t xml:space="preserve">العقد / أمر الشراء الموقع</w:t>
      </w:r>
      <w:r>
        <w:rPr>
          <w:highlight w:val="yellow"/>
          <w:rtl/>
        </w:rPr>
        <w:t xml:space="preserve">]</w:t>
      </w:r>
      <w:r>
        <w:rPr>
          <w:rtl/>
        </w:rPr>
        <w:t xml:space="preserve">.</w:t>
      </w:r>
    </w:p>
    <w:p>
      <w:pPr>
        <w:pStyle w:val="Heading1"/>
        <w:bidi/>
      </w:pPr>
      <w:commentRangeStart w:id="0"/>
      <w:r>
        <w:rPr>
          <w:rtl/>
        </w:rPr>
        <w:t xml:space="preserve">البند (2): النطاق وأوامر الشراء</w:t>
      </w:r>
      <w:commentRangeEnd w:id="0"/>
      <w:r>
        <w:rPr>
          <w:rtl/>
        </w:rPr>
        <w:commentReference w:id="0"/>
      </w:r>
    </w:p>
    <w:p>
      <w:pPr>
        <w:bidi/>
      </w:pPr>
      <w:r>
        <w:rPr>
          <w:rtl/>
        </w:rPr>
        <w:t xml:space="preserve">يورّد المورّد </w:t>
      </w:r>
      <w:r>
        <w:rPr>
          <w:highlight w:val="yellow"/>
          <w:rtl/>
        </w:rPr>
        <w:t xml:space="preserve">[</w:t>
      </w:r>
      <w:r>
        <w:rPr>
          <w:highlight w:val="yellow"/>
          <w:rtl/>
        </w:rPr>
        <w:t xml:space="preserve">البضاعة</w:t>
      </w:r>
      <w:r>
        <w:rPr>
          <w:highlight w:val="yellow"/>
          <w:rtl/>
        </w:rPr>
        <w:t xml:space="preserve">]</w:t>
      </w:r>
      <w:r>
        <w:rPr>
          <w:rtl/>
        </w:rPr>
        <w:t xml:space="preserve"> بموجب أوامر شراء يصدرها المشتري. الكمية التقديرية </w:t>
      </w:r>
      <w:r>
        <w:rPr>
          <w:highlight w:val="yellow"/>
          <w:rtl/>
        </w:rPr>
        <w:t xml:space="preserve">[</w:t>
      </w:r>
      <w:r>
        <w:rPr>
          <w:highlight w:val="yellow"/>
          <w:rtl/>
        </w:rPr>
        <w:t xml:space="preserve">●</w:t>
      </w:r>
      <w:r>
        <w:rPr>
          <w:highlight w:val="yellow"/>
          <w:rtl/>
        </w:rPr>
        <w:t xml:space="preserve">]</w:t>
      </w:r>
      <w:r>
        <w:rPr>
          <w:rtl/>
        </w:rPr>
        <w:t xml:space="preserve">، وهي ليست حداً أدنى إلا إذا كُتب ذلك. والحصرية: </w:t>
      </w:r>
      <w:r>
        <w:rPr>
          <w:highlight w:val="yellow"/>
          <w:rtl/>
        </w:rPr>
        <w:t xml:space="preserve">[</w:t>
      </w:r>
      <w:r>
        <w:rPr>
          <w:highlight w:val="yellow"/>
          <w:rtl/>
        </w:rPr>
        <w:t xml:space="preserve">حصرية في ● / لا حصرية</w:t>
      </w:r>
      <w:r>
        <w:rPr>
          <w:highlight w:val="yellow"/>
          <w:rtl/>
        </w:rPr>
        <w:t xml:space="preserve">]</w:t>
      </w:r>
      <w:r>
        <w:rPr>
          <w:rtl/>
        </w:rPr>
        <w:t xml:space="preserve">.</w:t>
      </w:r>
    </w:p>
    <w:p>
      <w:pPr>
        <w:pStyle w:val="Heading1"/>
        <w:bidi/>
      </w:pPr>
      <w:commentRangeStart w:id="1"/>
      <w:r>
        <w:rPr>
          <w:rtl/>
        </w:rPr>
        <w:t xml:space="preserve">البند (3): التسليم</w:t>
      </w:r>
      <w:commentRangeEnd w:id="1"/>
      <w:r>
        <w:rPr>
          <w:rtl/>
        </w:rPr>
        <w:commentReference w:id="1"/>
      </w:r>
    </w:p>
    <w:p>
      <w:pPr>
        <w:bidi/>
      </w:pPr>
      <w:r>
        <w:rPr>
          <w:rtl/>
        </w:rPr>
        <w:t xml:space="preserve">مكان التسليم </w:t>
      </w:r>
      <w:r>
        <w:rPr>
          <w:highlight w:val="yellow"/>
          <w:rtl/>
        </w:rPr>
        <w:t xml:space="preserve">[</w:t>
      </w:r>
      <w:r>
        <w:rPr>
          <w:highlight w:val="yellow"/>
          <w:rtl/>
        </w:rPr>
        <w:t xml:space="preserve">●</w:t>
      </w:r>
      <w:r>
        <w:rPr>
          <w:highlight w:val="yellow"/>
          <w:rtl/>
        </w:rPr>
        <w:t xml:space="preserve">]</w:t>
      </w:r>
      <w:r>
        <w:rPr>
          <w:rtl/>
        </w:rPr>
        <w:t xml:space="preserve">، والموعد </w:t>
      </w:r>
      <w:r>
        <w:rPr>
          <w:highlight w:val="yellow"/>
          <w:rtl/>
        </w:rPr>
        <w:t xml:space="preserve">[</w:t>
      </w:r>
      <w:r>
        <w:rPr>
          <w:highlight w:val="yellow"/>
          <w:rtl/>
        </w:rPr>
        <w:t xml:space="preserve">●</w:t>
      </w:r>
      <w:r>
        <w:rPr>
          <w:highlight w:val="yellow"/>
          <w:rtl/>
        </w:rPr>
        <w:t xml:space="preserve">]</w:t>
      </w:r>
      <w:r>
        <w:rPr>
          <w:rtl/>
        </w:rPr>
        <w:t xml:space="preserve"> من تاريخ أمر الشراء. شرط التسليم: </w:t>
      </w:r>
      <w:r>
        <w:rPr>
          <w:highlight w:val="yellow"/>
          <w:rtl/>
        </w:rPr>
        <w:t xml:space="preserve">[</w:t>
      </w:r>
      <w:r>
        <w:rPr>
          <w:highlight w:val="yellow"/>
          <w:rtl/>
        </w:rPr>
        <w:t xml:space="preserve">Incoterms 2020: ●</w:t>
      </w:r>
      <w:r>
        <w:rPr>
          <w:highlight w:val="yellow"/>
          <w:rtl/>
        </w:rPr>
        <w:t xml:space="preserve">]</w:t>
      </w:r>
      <w:r>
        <w:rPr>
          <w:rtl/>
        </w:rPr>
        <w:t xml:space="preserve">. والتغليف: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r>
        <w:rPr>
          <w:rtl/>
        </w:rPr>
        <w:t xml:space="preserve">البند (4): الفحص والقبول والرفض</w:t>
      </w:r>
    </w:p>
    <w:p>
      <w:pPr>
        <w:bidi/>
      </w:pPr>
      <w:r>
        <w:rPr>
          <w:rtl/>
        </w:rPr>
        <w:t xml:space="preserve">يفحص المشتري البضاعة خلال </w:t>
      </w:r>
      <w:r>
        <w:rPr>
          <w:highlight w:val="yellow"/>
          <w:rtl/>
        </w:rPr>
        <w:t xml:space="preserve">[</w:t>
      </w:r>
      <w:r>
        <w:rPr>
          <w:highlight w:val="yellow"/>
          <w:rtl/>
        </w:rPr>
        <w:t xml:space="preserve">●</w:t>
      </w:r>
      <w:r>
        <w:rPr>
          <w:highlight w:val="yellow"/>
          <w:rtl/>
        </w:rPr>
        <w:t xml:space="preserve">]</w:t>
      </w:r>
      <w:r>
        <w:rPr>
          <w:rtl/>
        </w:rPr>
        <w:t xml:space="preserve"> يوماً من وصولها. ويخطر بالعيب الظاهر خلال </w:t>
      </w:r>
      <w:r>
        <w:rPr>
          <w:highlight w:val="yellow"/>
          <w:rtl/>
        </w:rPr>
        <w:t xml:space="preserve">[</w:t>
      </w:r>
      <w:r>
        <w:rPr>
          <w:highlight w:val="yellow"/>
          <w:rtl/>
        </w:rPr>
        <w:t xml:space="preserve">●</w:t>
      </w:r>
      <w:r>
        <w:rPr>
          <w:highlight w:val="yellow"/>
          <w:rtl/>
        </w:rPr>
        <w:t xml:space="preserve">]</w:t>
      </w:r>
      <w:r>
        <w:rPr>
          <w:rtl/>
        </w:rPr>
        <w:t xml:space="preserve"> يوماً من اكتشافه، وبالعيب الخفي خلال </w:t>
      </w:r>
      <w:r>
        <w:rPr>
          <w:highlight w:val="yellow"/>
          <w:rtl/>
        </w:rPr>
        <w:t xml:space="preserve">[</w:t>
      </w:r>
      <w:r>
        <w:rPr>
          <w:highlight w:val="yellow"/>
          <w:rtl/>
        </w:rPr>
        <w:t xml:space="preserve">●</w:t>
      </w:r>
      <w:r>
        <w:rPr>
          <w:highlight w:val="yellow"/>
          <w:rtl/>
        </w:rPr>
        <w:t xml:space="preserve">]</w:t>
      </w:r>
      <w:r>
        <w:rPr>
          <w:rtl/>
        </w:rPr>
        <w:t xml:space="preserve"> يوماً من اكتشافه. والرفض يكون كتابةً مع بيان العيب.</w:t>
      </w:r>
    </w:p>
    <w:p>
      <w:pPr>
        <w:pStyle w:val="Heading1"/>
        <w:bidi/>
      </w:pPr>
      <w:r>
        <w:rPr>
          <w:rtl/>
        </w:rPr>
        <w:t xml:space="preserve">البند (5): الملكية وتبعة الهلاك</w:t>
      </w:r>
    </w:p>
    <w:p>
      <w:pPr>
        <w:bidi/>
      </w:pPr>
      <w:r>
        <w:rPr>
          <w:rtl/>
        </w:rPr>
        <w:t xml:space="preserve">تنتقل الملكية عند </w:t>
      </w:r>
      <w:r>
        <w:rPr>
          <w:highlight w:val="yellow"/>
          <w:rtl/>
        </w:rPr>
        <w:t xml:space="preserve">[</w:t>
      </w:r>
      <w:r>
        <w:rPr>
          <w:highlight w:val="yellow"/>
          <w:rtl/>
        </w:rPr>
        <w:t xml:space="preserve">التسليم / سداد الثمن</w:t>
      </w:r>
      <w:r>
        <w:rPr>
          <w:highlight w:val="yellow"/>
          <w:rtl/>
        </w:rPr>
        <w:t xml:space="preserve">]</w:t>
      </w:r>
      <w:r>
        <w:rPr>
          <w:rtl/>
        </w:rPr>
        <w:t xml:space="preserve">. وتنتقل تبعة الهلاك عند </w:t>
      </w:r>
      <w:r>
        <w:rPr>
          <w:highlight w:val="yellow"/>
          <w:rtl/>
        </w:rPr>
        <w:t xml:space="preserve">[</w:t>
      </w:r>
      <w:r>
        <w:rPr>
          <w:highlight w:val="yellow"/>
          <w:rtl/>
        </w:rPr>
        <w:t xml:space="preserve">التسليم / النقطة في شرط التسليم</w:t>
      </w:r>
      <w:r>
        <w:rPr>
          <w:highlight w:val="yellow"/>
          <w:rtl/>
        </w:rPr>
        <w:t xml:space="preserve">]</w:t>
      </w:r>
      <w:r>
        <w:rPr>
          <w:rtl/>
        </w:rPr>
        <w:t xml:space="preserve">.</w:t>
      </w:r>
    </w:p>
    <w:p>
      <w:pPr>
        <w:pStyle w:val="Heading1"/>
        <w:bidi/>
      </w:pPr>
      <w:commentRangeStart w:id="2"/>
      <w:r>
        <w:rPr>
          <w:rtl/>
        </w:rPr>
        <w:t xml:space="preserve">البند (6): السعر والضريبة والدفع</w:t>
      </w:r>
      <w:commentRangeEnd w:id="2"/>
      <w:r>
        <w:rPr>
          <w:rtl/>
        </w:rPr>
        <w:commentReference w:id="2"/>
      </w:r>
    </w:p>
    <w:p>
      <w:pPr>
        <w:bidi/>
      </w:pPr>
      <w:r>
        <w:rPr>
          <w:rtl/>
        </w:rPr>
        <w:t xml:space="preserve">الأسعار في الملحق (1)، وهي </w:t>
      </w:r>
      <w:r>
        <w:rPr>
          <w:highlight w:val="yellow"/>
          <w:rtl/>
        </w:rPr>
        <w:t xml:space="preserve">[</w:t>
      </w:r>
      <w:r>
        <w:rPr>
          <w:highlight w:val="yellow"/>
          <w:rtl/>
        </w:rPr>
        <w:t xml:space="preserve">شاملة / غير شاملة</w:t>
      </w:r>
      <w:r>
        <w:rPr>
          <w:highlight w:val="yellow"/>
          <w:rtl/>
        </w:rPr>
        <w:t xml:space="preserve">]</w:t>
      </w:r>
      <w:r>
        <w:rPr>
          <w:rtl/>
        </w:rPr>
        <w:t xml:space="preserve"> ضريبة القيمة المضافة. والفاتورة إلكترونية وفق النظام النافذ. والدفع خلال </w:t>
      </w:r>
      <w:r>
        <w:rPr>
          <w:highlight w:val="yellow"/>
          <w:rtl/>
        </w:rPr>
        <w:t xml:space="preserve">[</w:t>
      </w:r>
      <w:r>
        <w:rPr>
          <w:highlight w:val="yellow"/>
          <w:rtl/>
        </w:rPr>
        <w:t xml:space="preserve">●</w:t>
      </w:r>
      <w:r>
        <w:rPr>
          <w:highlight w:val="yellow"/>
          <w:rtl/>
        </w:rPr>
        <w:t xml:space="preserve">]</w:t>
      </w:r>
      <w:r>
        <w:rPr>
          <w:rtl/>
        </w:rPr>
        <w:t xml:space="preserve"> يوماً من </w:t>
      </w:r>
      <w:r>
        <w:rPr>
          <w:highlight w:val="yellow"/>
          <w:rtl/>
        </w:rPr>
        <w:t xml:space="preserve">[</w:t>
      </w:r>
      <w:r>
        <w:rPr>
          <w:highlight w:val="yellow"/>
          <w:rtl/>
        </w:rPr>
        <w:t xml:space="preserve">الفاتورة المقبولة / القبول</w:t>
      </w:r>
      <w:r>
        <w:rPr>
          <w:highlight w:val="yellow"/>
          <w:rtl/>
        </w:rPr>
        <w:t xml:space="preserve">]</w:t>
      </w:r>
      <w:r>
        <w:rPr>
          <w:rtl/>
        </w:rPr>
        <w:t xml:space="preserve">.</w:t>
      </w:r>
    </w:p>
    <w:p>
      <w:pPr>
        <w:pStyle w:val="Heading1"/>
        <w:bidi/>
      </w:pPr>
      <w:r>
        <w:rPr>
          <w:rtl/>
        </w:rPr>
        <w:t xml:space="preserve">البند (7): الضمان والعيوب والاستبدال</w:t>
      </w:r>
    </w:p>
    <w:p>
      <w:pPr>
        <w:bidi/>
      </w:pPr>
      <w:r>
        <w:rPr>
          <w:rtl/>
        </w:rPr>
        <w:t xml:space="preserve">يضمن المورّد مطابقة المواصفات لمدة </w:t>
      </w:r>
      <w:r>
        <w:rPr>
          <w:highlight w:val="yellow"/>
          <w:rtl/>
        </w:rPr>
        <w:t xml:space="preserve">[</w:t>
      </w:r>
      <w:r>
        <w:rPr>
          <w:highlight w:val="yellow"/>
          <w:rtl/>
        </w:rPr>
        <w:t xml:space="preserve">●</w:t>
      </w:r>
      <w:r>
        <w:rPr>
          <w:highlight w:val="yellow"/>
          <w:rtl/>
        </w:rPr>
        <w:t xml:space="preserve">]</w:t>
      </w:r>
      <w:r>
        <w:rPr>
          <w:rtl/>
        </w:rPr>
        <w:t xml:space="preserve"> من القبول. والعيب في هذه المدة يُستبدل أو يُصلح خلال </w:t>
      </w:r>
      <w:r>
        <w:rPr>
          <w:highlight w:val="yellow"/>
          <w:rtl/>
        </w:rPr>
        <w:t xml:space="preserve">[</w:t>
      </w:r>
      <w:r>
        <w:rPr>
          <w:highlight w:val="yellow"/>
          <w:rtl/>
        </w:rPr>
        <w:t xml:space="preserve">●</w:t>
      </w:r>
      <w:r>
        <w:rPr>
          <w:highlight w:val="yellow"/>
          <w:rtl/>
        </w:rPr>
        <w:t xml:space="preserve">]</w:t>
      </w:r>
      <w:r>
        <w:rPr>
          <w:rtl/>
        </w:rPr>
        <w:t xml:space="preserve"> يوماً من الإخطار، من غير إسقاط حق التعويض إن بقي.</w:t>
      </w:r>
    </w:p>
    <w:p>
      <w:pPr>
        <w:pStyle w:val="Heading1"/>
        <w:bidi/>
      </w:pPr>
      <w:commentRangeStart w:id="3"/>
      <w:r>
        <w:rPr>
          <w:rtl/>
        </w:rPr>
        <w:t xml:space="preserve">البند (8): التعويض عن التأخير</w:t>
      </w:r>
      <w:commentRangeEnd w:id="3"/>
      <w:r>
        <w:rPr>
          <w:rtl/>
        </w:rPr>
        <w:commentReference w:id="3"/>
      </w:r>
    </w:p>
    <w:p>
      <w:pPr>
        <w:bidi/>
      </w:pPr>
      <w:r>
        <w:rPr>
          <w:rtl/>
        </w:rPr>
        <w:t xml:space="preserve">عند التأخر عن موعد التسليم، يدفع المورّد </w:t>
      </w:r>
      <w:r>
        <w:rPr>
          <w:highlight w:val="yellow"/>
          <w:rtl/>
        </w:rPr>
        <w:t xml:space="preserve">[</w:t>
      </w:r>
      <w:r>
        <w:rPr>
          <w:highlight w:val="yellow"/>
          <w:rtl/>
        </w:rPr>
        <w:t xml:space="preserve">●</w:t>
      </w:r>
      <w:r>
        <w:rPr>
          <w:highlight w:val="yellow"/>
          <w:rtl/>
        </w:rPr>
        <w:t xml:space="preserve">]</w:t>
      </w:r>
      <w:r>
        <w:rPr>
          <w:rtl/>
        </w:rPr>
        <w:t xml:space="preserve"> عن كل يوم، وبسقف </w:t>
      </w:r>
      <w:r>
        <w:rPr>
          <w:highlight w:val="yellow"/>
          <w:rtl/>
        </w:rPr>
        <w:t xml:space="preserve">[</w:t>
      </w:r>
      <w:r>
        <w:rPr>
          <w:highlight w:val="yellow"/>
          <w:rtl/>
        </w:rPr>
        <w:t xml:space="preserve">●</w:t>
      </w:r>
      <w:r>
        <w:rPr>
          <w:highlight w:val="yellow"/>
          <w:rtl/>
        </w:rPr>
        <w:t xml:space="preserve">]</w:t>
      </w:r>
      <w:r>
        <w:rPr>
          <w:rtl/>
        </w:rPr>
        <w:t xml:space="preserve">، ما لم يكن محل الالتزام مبلغاً من النقود. وللمحكمة تعديل هذا المبلغ حيث يجيز النظام ذلك.</w:t>
      </w:r>
    </w:p>
    <w:p>
      <w:pPr>
        <w:pStyle w:val="Heading1"/>
        <w:bidi/>
      </w:pPr>
      <w:commentRangeStart w:id="4"/>
      <w:r>
        <w:rPr>
          <w:rtl/>
        </w:rPr>
        <w:t xml:space="preserve">البند (9): القوة القاهرة</w:t>
      </w:r>
      <w:commentRangeEnd w:id="4"/>
      <w:r>
        <w:rPr>
          <w:rtl/>
        </w:rPr>
        <w:commentReference w:id="4"/>
      </w:r>
    </w:p>
    <w:p>
      <w:pPr>
        <w:bidi/>
      </w:pPr>
      <w:r>
        <w:rPr>
          <w:rtl/>
        </w:rPr>
        <w:t xml:space="preserve">لا يُسأل الطرف عن تأخر سببه حادث خارج عن إرادته المعقولة إذا أخطر الآخر كتابةً فور علمه. وإذا استحال التنفيذ انفسخ ما استحال منه. ويجوز الاتفاق على تحمّل المورّد تبعة القوة القاهرة: </w:t>
      </w:r>
      <w:r>
        <w:rPr>
          <w:highlight w:val="yellow"/>
          <w:rtl/>
        </w:rPr>
        <w:t xml:space="preserve">[</w:t>
      </w:r>
      <w:r>
        <w:rPr>
          <w:highlight w:val="yellow"/>
          <w:rtl/>
        </w:rPr>
        <w:t xml:space="preserve">يتحمل / لا يتحمل</w:t>
      </w:r>
      <w:r>
        <w:rPr>
          <w:highlight w:val="yellow"/>
          <w:rtl/>
        </w:rPr>
        <w:t xml:space="preserve">]</w:t>
      </w:r>
      <w:r>
        <w:rPr>
          <w:rtl/>
        </w:rPr>
        <w:t xml:space="preserve">.</w:t>
      </w:r>
    </w:p>
    <w:p>
      <w:pPr>
        <w:pStyle w:val="Heading1"/>
        <w:bidi/>
      </w:pPr>
      <w:commentRangeStart w:id="5"/>
      <w:r>
        <w:rPr>
          <w:rtl/>
        </w:rPr>
        <w:t xml:space="preserve">البند (10): الظروف الطارئة</w:t>
      </w:r>
      <w:commentRangeEnd w:id="5"/>
      <w:r>
        <w:rPr>
          <w:rtl/>
        </w:rPr>
        <w:commentReference w:id="5"/>
      </w:r>
    </w:p>
    <w:p>
      <w:pPr>
        <w:bidi/>
      </w:pPr>
      <w:r>
        <w:rPr>
          <w:rtl/>
        </w:rPr>
        <w:t xml:space="preserve">إذا طرأ حادث استثنائي عام لم يكن في الحسبان وجعل تنفيذ الالتزام مرهقاً، يطلب الطرف المتضرر التفاوض خلال </w:t>
      </w:r>
      <w:r>
        <w:rPr>
          <w:highlight w:val="yellow"/>
          <w:rtl/>
        </w:rPr>
        <w:t xml:space="preserve">[</w:t>
      </w:r>
      <w:r>
        <w:rPr>
          <w:highlight w:val="yellow"/>
          <w:rtl/>
        </w:rPr>
        <w:t xml:space="preserve">●</w:t>
      </w:r>
      <w:r>
        <w:rPr>
          <w:highlight w:val="yellow"/>
          <w:rtl/>
        </w:rPr>
        <w:t xml:space="preserve">]</w:t>
      </w:r>
      <w:r>
        <w:rPr>
          <w:rtl/>
        </w:rPr>
        <w:t xml:space="preserve"> يوماً. ولا يوقف الطلب التنفيذ. ويعاد الاتفاق كتابةً أو يُترك الأمر للمحكمة حيث يجيز النظام ذلك.</w:t>
      </w:r>
    </w:p>
    <w:p>
      <w:pPr>
        <w:pStyle w:val="Heading1"/>
        <w:bidi/>
      </w:pPr>
      <w:commentRangeStart w:id="6"/>
      <w:r>
        <w:rPr>
          <w:rtl/>
        </w:rPr>
        <w:t xml:space="preserve">البند (11): حدود المسؤولية والتأمين</w:t>
      </w:r>
      <w:commentRangeEnd w:id="6"/>
      <w:r>
        <w:rPr>
          <w:rtl/>
        </w:rPr>
        <w:commentReference w:id="6"/>
      </w:r>
    </w:p>
    <w:p>
      <w:pPr>
        <w:bidi/>
      </w:pPr>
      <w:r>
        <w:rPr>
          <w:rtl/>
        </w:rPr>
        <w:t xml:space="preserve">لا تجاوز مسؤولية المورّد عن هذا العقد </w:t>
      </w:r>
      <w:r>
        <w:rPr>
          <w:highlight w:val="yellow"/>
          <w:rtl/>
        </w:rPr>
        <w:t xml:space="preserve">[</w:t>
      </w:r>
      <w:r>
        <w:rPr>
          <w:highlight w:val="yellow"/>
          <w:rtl/>
        </w:rPr>
        <w:t xml:space="preserve">●</w:t>
      </w:r>
      <w:r>
        <w:rPr>
          <w:highlight w:val="yellow"/>
          <w:rtl/>
        </w:rPr>
        <w:t xml:space="preserve">]</w:t>
      </w:r>
      <w:r>
        <w:rPr>
          <w:rtl/>
        </w:rPr>
        <w:t xml:space="preserve">، ولا يشمل السقف الغش أو الخطأ الجسيم أو الإصابة الجسدية. والتأمين: </w:t>
      </w:r>
      <w:r>
        <w:rPr>
          <w:highlight w:val="yellow"/>
          <w:rtl/>
        </w:rPr>
        <w:t xml:space="preserve">[</w:t>
      </w:r>
      <w:r>
        <w:rPr>
          <w:highlight w:val="yellow"/>
          <w:rtl/>
        </w:rPr>
        <w:t xml:space="preserve">نوع الوثيقة والحد</w:t>
      </w:r>
      <w:r>
        <w:rPr>
          <w:highlight w:val="yellow"/>
          <w:rtl/>
        </w:rPr>
        <w:t xml:space="preserve">]</w:t>
      </w:r>
      <w:r>
        <w:rPr>
          <w:rtl/>
        </w:rPr>
        <w:t xml:space="preserve">.</w:t>
      </w:r>
    </w:p>
    <w:p>
      <w:pPr>
        <w:pStyle w:val="Heading1"/>
        <w:bidi/>
      </w:pPr>
      <w:r>
        <w:rPr>
          <w:rtl/>
        </w:rPr>
        <w:t xml:space="preserve">البند (12): الحوالة والمقاصة</w:t>
      </w:r>
    </w:p>
    <w:p>
      <w:pPr>
        <w:bidi/>
      </w:pPr>
      <w:r>
        <w:rPr>
          <w:rtl/>
        </w:rPr>
        <w:t xml:space="preserve">لا تُحال حقوق هذا العقد ولا التزاماته إلى غير طرف إلا بموافقة مكتوبة. والمقاصة: </w:t>
      </w:r>
      <w:r>
        <w:rPr>
          <w:highlight w:val="yellow"/>
          <w:rtl/>
        </w:rPr>
        <w:t xml:space="preserve">[</w:t>
      </w:r>
      <w:r>
        <w:rPr>
          <w:highlight w:val="yellow"/>
          <w:rtl/>
        </w:rPr>
        <w:t xml:space="preserve">تجوز في الديون الحالة من هذا العقد / لا تجوز</w:t>
      </w:r>
      <w:r>
        <w:rPr>
          <w:highlight w:val="yellow"/>
          <w:rtl/>
        </w:rPr>
        <w:t xml:space="preserve">]</w:t>
      </w:r>
      <w:r>
        <w:rPr>
          <w:rtl/>
        </w:rPr>
        <w:t xml:space="preserve">.</w:t>
      </w:r>
    </w:p>
    <w:p>
      <w:pPr>
        <w:pStyle w:val="Heading1"/>
        <w:bidi/>
      </w:pPr>
      <w:commentRangeStart w:id="7"/>
      <w:r>
        <w:rPr>
          <w:rtl/>
        </w:rPr>
        <w:t xml:space="preserve">البند (13): السرية والبيانات</w:t>
      </w:r>
      <w:commentRangeEnd w:id="7"/>
      <w:r>
        <w:rPr>
          <w:rtl/>
        </w:rPr>
        <w:commentReference w:id="7"/>
      </w:r>
    </w:p>
    <w:p>
      <w:pPr>
        <w:bidi/>
      </w:pPr>
      <w:r>
        <w:rPr>
          <w:rtl/>
        </w:rPr>
        <w:t xml:space="preserve">يلتزم كل طرف بسرية الأسعار والمواصفات غير العلنية لمدة </w:t>
      </w:r>
      <w:r>
        <w:rPr>
          <w:highlight w:val="yellow"/>
          <w:rtl/>
        </w:rPr>
        <w:t xml:space="preserve">[</w:t>
      </w:r>
      <w:r>
        <w:rPr>
          <w:highlight w:val="yellow"/>
          <w:rtl/>
        </w:rPr>
        <w:t xml:space="preserve">●</w:t>
      </w:r>
      <w:r>
        <w:rPr>
          <w:highlight w:val="yellow"/>
          <w:rtl/>
        </w:rPr>
        <w:t xml:space="preserve">]</w:t>
      </w:r>
      <w:r>
        <w:rPr>
          <w:rtl/>
        </w:rPr>
        <w:t xml:space="preserve">. وإذا شملت البيانات بيانات شخصية التزم بالنظام الساري في الدولة المختارة في البند (16). وإن لزم عقد سرية مستقل فـ</w:t>
      </w:r>
      <w:hyperlink w:history="1" r:id="rIdlasc9ipkpv9momy8e8ztx">
        <w:r>
          <w:rPr>
            <w:rStyle w:val="Hyperlink"/>
            <w:rtl/>
          </w:rPr>
          <w:t xml:space="preserve">اتفاقية عدم الإفصاح</w:t>
        </w:r>
      </w:hyperlink>
      <w:r>
        <w:rPr>
          <w:rtl/>
        </w:rPr>
        <w:t xml:space="preserve">.</w:t>
      </w:r>
    </w:p>
    <w:p>
      <w:pPr>
        <w:pStyle w:val="Heading1"/>
        <w:bidi/>
      </w:pPr>
      <w:commentRangeStart w:id="8"/>
      <w:r>
        <w:rPr>
          <w:rtl/>
        </w:rPr>
        <w:t xml:space="preserve">البند (14): المدة والإنهاء</w:t>
      </w:r>
      <w:commentRangeEnd w:id="8"/>
      <w:r>
        <w:rPr>
          <w:rtl/>
        </w:rPr>
        <w:commentReference w:id="8"/>
      </w:r>
    </w:p>
    <w:p>
      <w:pPr>
        <w:bidi/>
      </w:pPr>
      <w:r>
        <w:rPr>
          <w:rtl/>
        </w:rPr>
        <w:t xml:space="preserve">المدة </w:t>
      </w:r>
      <w:r>
        <w:rPr>
          <w:highlight w:val="yellow"/>
          <w:rtl/>
        </w:rPr>
        <w:t xml:space="preserve">[</w:t>
      </w:r>
      <w:r>
        <w:rPr>
          <w:highlight w:val="yellow"/>
          <w:rtl/>
        </w:rPr>
        <w:t xml:space="preserve">●</w:t>
      </w:r>
      <w:r>
        <w:rPr>
          <w:highlight w:val="yellow"/>
          <w:rtl/>
        </w:rPr>
        <w:t xml:space="preserve">]</w:t>
      </w:r>
      <w:r>
        <w:rPr>
          <w:rtl/>
        </w:rPr>
        <w:t xml:space="preserve"> من </w:t>
      </w:r>
      <w:r>
        <w:rPr>
          <w:highlight w:val="yellow"/>
          <w:rtl/>
        </w:rPr>
        <w:t xml:space="preserve">[</w:t>
      </w:r>
      <w:r>
        <w:rPr>
          <w:highlight w:val="yellow"/>
          <w:rtl/>
        </w:rPr>
        <w:t xml:space="preserve">التاريخ</w:t>
      </w:r>
      <w:r>
        <w:rPr>
          <w:highlight w:val="yellow"/>
          <w:rtl/>
        </w:rPr>
        <w:t xml:space="preserve">]</w:t>
      </w:r>
      <w:r>
        <w:rPr>
          <w:rtl/>
        </w:rPr>
        <w:t xml:space="preserve">، وتتجدد </w:t>
      </w:r>
      <w:r>
        <w:rPr>
          <w:highlight w:val="yellow"/>
          <w:rtl/>
        </w:rPr>
        <w:t xml:space="preserve">[</w:t>
      </w:r>
      <w:r>
        <w:rPr>
          <w:highlight w:val="yellow"/>
          <w:rtl/>
        </w:rPr>
        <w:t xml:space="preserve">● / لا تتجدد</w:t>
      </w:r>
      <w:r>
        <w:rPr>
          <w:highlight w:val="yellow"/>
          <w:rtl/>
        </w:rPr>
        <w:t xml:space="preserve">]</w:t>
      </w:r>
      <w:r>
        <w:rPr>
          <w:rtl/>
        </w:rPr>
        <w:t xml:space="preserve">. ويُنهى العقد بإخطار </w:t>
      </w:r>
      <w:r>
        <w:rPr>
          <w:highlight w:val="yellow"/>
          <w:rtl/>
        </w:rPr>
        <w:t xml:space="preserve">[</w:t>
      </w:r>
      <w:r>
        <w:rPr>
          <w:highlight w:val="yellow"/>
          <w:rtl/>
        </w:rPr>
        <w:t xml:space="preserve">●</w:t>
      </w:r>
      <w:r>
        <w:rPr>
          <w:highlight w:val="yellow"/>
          <w:rtl/>
        </w:rPr>
        <w:t xml:space="preserve">]</w:t>
      </w:r>
      <w:r>
        <w:rPr>
          <w:rtl/>
        </w:rPr>
        <w:t xml:space="preserve"> يوماً، أو فوراً عند </w:t>
      </w:r>
      <w:r>
        <w:rPr>
          <w:highlight w:val="yellow"/>
          <w:rtl/>
        </w:rPr>
        <w:t xml:space="preserve">[</w:t>
      </w:r>
      <w:r>
        <w:rPr>
          <w:highlight w:val="yellow"/>
          <w:rtl/>
        </w:rPr>
        <w:t xml:space="preserve">الإخلال الجوهري بعد الإعذار / الإعسار</w:t>
      </w:r>
      <w:r>
        <w:rPr>
          <w:highlight w:val="yellow"/>
          <w:rtl/>
        </w:rPr>
        <w:t xml:space="preserve">]</w:t>
      </w:r>
      <w:r>
        <w:rPr>
          <w:rtl/>
        </w:rPr>
        <w:t xml:space="preserve">. وأوامر الشراء المقبولة قبل الإنهاء تُنفَّذ.</w:t>
      </w:r>
    </w:p>
    <w:p>
      <w:pPr>
        <w:pStyle w:val="Heading1"/>
        <w:bidi/>
      </w:pPr>
      <w:commentRangeStart w:id="9"/>
      <w:r>
        <w:rPr>
          <w:rtl/>
        </w:rPr>
        <w:t xml:space="preserve">البند (15): الامتثال</w:t>
      </w:r>
      <w:commentRangeEnd w:id="9"/>
      <w:r>
        <w:rPr>
          <w:rtl/>
        </w:rPr>
        <w:commentReference w:id="9"/>
      </w:r>
    </w:p>
    <w:p>
      <w:pPr>
        <w:bidi/>
      </w:pPr>
      <w:r>
        <w:rPr>
          <w:rtl/>
        </w:rPr>
        <w:t xml:space="preserve">يلتزم الطرفان بالأحكام النافذة لمكافحة الرشوة والعقوبات في الدولة المختارة. والمحتوى المحلي في السعودية، إن انطبق: </w:t>
      </w:r>
      <w:r>
        <w:rPr>
          <w:highlight w:val="yellow"/>
          <w:rtl/>
        </w:rPr>
        <w:t xml:space="preserve">[</w:t>
      </w:r>
      <w:r>
        <w:rPr>
          <w:highlight w:val="yellow"/>
          <w:rtl/>
        </w:rPr>
        <w:t xml:space="preserve">● / لا ينطبق</w:t>
      </w:r>
      <w:r>
        <w:rPr>
          <w:highlight w:val="yellow"/>
          <w:rtl/>
        </w:rPr>
        <w:t xml:space="preserve">]</w:t>
      </w:r>
      <w:r>
        <w:rPr>
          <w:rtl/>
        </w:rPr>
        <w:t xml:space="preserve">.</w:t>
      </w:r>
    </w:p>
    <w:p>
      <w:pPr>
        <w:pStyle w:val="Heading1"/>
        <w:bidi/>
      </w:pPr>
      <w:commentRangeStart w:id="10"/>
      <w:r>
        <w:rPr>
          <w:rtl/>
        </w:rPr>
        <w:t xml:space="preserve">البند (16): النظام وتسوية النزاع</w:t>
      </w:r>
      <w:commentRangeEnd w:id="10"/>
      <w:r>
        <w:rPr>
          <w:rtl/>
        </w:rPr>
        <w:commentReference w:id="10"/>
      </w:r>
    </w:p>
    <w:p>
      <w:pPr>
        <w:bidi/>
      </w:pPr>
      <w:r>
        <w:rPr>
          <w:rtl/>
        </w:rPr>
        <w:t xml:space="preserve">يخضع العقد لأنظمة </w:t>
      </w:r>
      <w:r>
        <w:rPr>
          <w:highlight w:val="yellow"/>
          <w:rtl/>
        </w:rPr>
        <w:t xml:space="preserve">[</w:t>
      </w:r>
      <w:r>
        <w:rPr>
          <w:highlight w:val="yellow"/>
          <w:rtl/>
        </w:rPr>
        <w:t xml:space="preserve">الدولة</w:t>
      </w:r>
      <w:r>
        <w:rPr>
          <w:highlight w:val="yellow"/>
          <w:rtl/>
        </w:rPr>
        <w:t xml:space="preserve">]</w:t>
      </w:r>
      <w:r>
        <w:rPr>
          <w:rtl/>
        </w:rPr>
        <w:t xml:space="preserve">. والنزاع يُحال إلى </w:t>
      </w:r>
      <w:r>
        <w:rPr>
          <w:highlight w:val="yellow"/>
          <w:rtl/>
        </w:rPr>
        <w:t xml:space="preserve">[</w:t>
      </w:r>
      <w:r>
        <w:rPr>
          <w:highlight w:val="yellow"/>
          <w:rtl/>
        </w:rPr>
        <w:t xml:space="preserve">المحاكم التجارية في ● / التحكيم وفق ●</w:t>
      </w:r>
      <w:r>
        <w:rPr>
          <w:highlight w:val="yellow"/>
          <w:rtl/>
        </w:rPr>
        <w:t xml:space="preserve">]</w:t>
      </w:r>
      <w:r>
        <w:rPr>
          <w:rtl/>
        </w:rPr>
        <w:t xml:space="preserve">. واللغة المعتمدة عند التعارض: </w:t>
      </w:r>
      <w:r>
        <w:rPr>
          <w:highlight w:val="yellow"/>
          <w:rtl/>
        </w:rPr>
        <w:t xml:space="preserve">[</w:t>
      </w:r>
      <w:r>
        <w:rPr>
          <w:highlight w:val="yellow"/>
          <w:rtl/>
        </w:rPr>
        <w:t xml:space="preserve">العربية</w:t>
      </w:r>
      <w:r>
        <w:rPr>
          <w:highlight w:val="yellow"/>
          <w:rtl/>
        </w:rPr>
        <w:t xml:space="preserve">]</w:t>
      </w:r>
      <w:r>
        <w:rPr>
          <w:rtl/>
        </w:rPr>
        <w:t xml:space="preserve">.</w:t>
      </w:r>
    </w:p>
    <w:p>
      <w:pPr>
        <w:pStyle w:val="Heading1"/>
        <w:bidi/>
      </w:pPr>
      <w:r>
        <w:rPr>
          <w:rtl/>
        </w:rPr>
        <w:t xml:space="preserve">البند (17): التوقيع</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المورّد:</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المشتري:</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عن المملكة العربية السعودية</w:t>
      </w:r>
    </w:p>
    <w:p>
      <w:pPr>
        <w:bidi/>
      </w:pPr>
      <w:r>
        <w:rPr>
          <w:rtl/>
        </w:rPr>
        <w:t xml:space="preserve">نظام المعاملات المدنية، ونظام المحاكم التجارية في سماع الدعوى.</w:t>
      </w:r>
      <w:r>
        <w:rPr>
          <w:rtl/>
        </w:rPr>
        <w:t xml:space="preserve"> [1][7]</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التعويض المحدد</w:t>
            </w:r>
          </w:p>
        </w:tc>
        <w:tc>
          <w:tcPr>
            <w:tcMar>
              <w:top w:type="dxa" w:w="80"/>
              <w:left w:type="dxa" w:w="100"/>
              <w:bottom w:type="dxa" w:w="80"/>
              <w:right w:type="dxa" w:w="100"/>
            </w:tcMar>
          </w:tcPr>
          <w:p>
            <w:pPr>
              <w:bidi/>
              <w:spacing w:after="0"/>
            </w:pPr>
            <w:r>
              <w:rPr>
                <w:b w:val="false"/>
                <w:sz w:val="18"/>
                <w:szCs w:val="18"/>
                <w:rtl/>
              </w:rPr>
              <w:t xml:space="preserve">يجوز تحديده مقدماً ما لم يكن محل الالتزام مبلغاً نقدياً، ولا يُشترط الإعذار (المادة الثامنة والسبعون بعد المائة).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تعديله</w:t>
            </w:r>
          </w:p>
        </w:tc>
        <w:tc>
          <w:tcPr>
            <w:tcMar>
              <w:top w:type="dxa" w:w="80"/>
              <w:left w:type="dxa" w:w="100"/>
              <w:bottom w:type="dxa" w:w="80"/>
              <w:right w:type="dxa" w:w="100"/>
            </w:tcMar>
          </w:tcPr>
          <w:p>
            <w:pPr>
              <w:bidi/>
              <w:spacing w:after="0"/>
            </w:pPr>
            <w:r>
              <w:rPr>
                <w:b w:val="false"/>
                <w:sz w:val="18"/>
                <w:szCs w:val="18"/>
                <w:rtl/>
              </w:rPr>
              <w:t xml:space="preserve">لا يُستحق إذا أثبت المدين انتفاء الضرر، وللمحكمة إنقاصه أو زيادته (المادة التاسعة والسبعون بعد المائة).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الظروف الطارئة</w:t>
            </w:r>
          </w:p>
        </w:tc>
        <w:tc>
          <w:tcPr>
            <w:tcMar>
              <w:top w:type="dxa" w:w="80"/>
              <w:left w:type="dxa" w:w="100"/>
              <w:bottom w:type="dxa" w:w="80"/>
              <w:right w:type="dxa" w:w="100"/>
            </w:tcMar>
          </w:tcPr>
          <w:p>
            <w:pPr>
              <w:bidi/>
              <w:spacing w:after="0"/>
            </w:pPr>
            <w:r>
              <w:rPr>
                <w:b w:val="false"/>
                <w:sz w:val="18"/>
                <w:szCs w:val="18"/>
                <w:rtl/>
              </w:rPr>
              <w:t xml:space="preserve">للمدين طلب التفاوض، ولا يخوله ذلك الامتناع عن التنفيذ (المادة السابعة والتسعون).</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الاستحالة</w:t>
            </w:r>
          </w:p>
        </w:tc>
        <w:tc>
          <w:tcPr>
            <w:tcMar>
              <w:top w:type="dxa" w:w="80"/>
              <w:left w:type="dxa" w:w="100"/>
              <w:bottom w:type="dxa" w:w="80"/>
              <w:right w:type="dxa" w:w="100"/>
            </w:tcMar>
          </w:tcPr>
          <w:p>
            <w:pPr>
              <w:bidi/>
              <w:spacing w:after="0"/>
            </w:pPr>
            <w:r>
              <w:rPr>
                <w:b w:val="false"/>
                <w:sz w:val="18"/>
                <w:szCs w:val="18"/>
                <w:rtl/>
              </w:rPr>
              <w:t xml:space="preserve">إذا استحال التنفيذ بسبب لا يد للمدين فيه انفسخ ما يقابله (المادة العاشرة بعد المائة).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القوة القاهرة</w:t>
            </w:r>
          </w:p>
        </w:tc>
        <w:tc>
          <w:tcPr>
            <w:tcMar>
              <w:top w:type="dxa" w:w="80"/>
              <w:left w:type="dxa" w:w="100"/>
              <w:bottom w:type="dxa" w:w="80"/>
              <w:right w:type="dxa" w:w="100"/>
            </w:tcMar>
          </w:tcPr>
          <w:p>
            <w:pPr>
              <w:bidi/>
              <w:spacing w:after="0"/>
            </w:pPr>
            <w:r>
              <w:rPr>
                <w:b w:val="false"/>
                <w:sz w:val="18"/>
                <w:szCs w:val="18"/>
                <w:rtl/>
              </w:rPr>
              <w:t xml:space="preserve">يجوز الاتفاق على تحمّل المدين تبعتها (المادة الرابعة والسبعون بعد المائة).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الفسخ</w:t>
            </w:r>
          </w:p>
        </w:tc>
        <w:tc>
          <w:tcPr>
            <w:tcMar>
              <w:top w:type="dxa" w:w="80"/>
              <w:left w:type="dxa" w:w="100"/>
              <w:bottom w:type="dxa" w:w="80"/>
              <w:right w:type="dxa" w:w="100"/>
            </w:tcMar>
          </w:tcPr>
          <w:p>
            <w:pPr>
              <w:bidi/>
              <w:spacing w:after="0"/>
            </w:pPr>
            <w:r>
              <w:rPr>
                <w:b w:val="false"/>
                <w:sz w:val="18"/>
                <w:szCs w:val="18"/>
                <w:rtl/>
              </w:rPr>
              <w:t xml:space="preserve">يكون بعد الإعذار (المادة السابعة بعد المائة).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سماع الدعوى</w:t>
            </w:r>
          </w:p>
        </w:tc>
        <w:tc>
          <w:tcPr>
            <w:tcMar>
              <w:top w:type="dxa" w:w="80"/>
              <w:left w:type="dxa" w:w="100"/>
              <w:bottom w:type="dxa" w:w="80"/>
              <w:right w:type="dxa" w:w="100"/>
            </w:tcMar>
          </w:tcPr>
          <w:p>
            <w:pPr>
              <w:bidi/>
              <w:spacing w:after="0"/>
            </w:pPr>
            <w:r>
              <w:rPr>
                <w:b w:val="false"/>
                <w:sz w:val="18"/>
                <w:szCs w:val="18"/>
                <w:rtl/>
              </w:rPr>
              <w:t xml:space="preserve">لا تُسمع الدعاوى التجارية بعد خمس سنوات من نشوء الحق ما لم يرد نص خاص (المادة الرابعة والعشرون من نظام المحاكم التجارية).</w:t>
            </w:r>
            <w:r>
              <w:rPr>
                <w:b w:val="false"/>
                <w:sz w:val="18"/>
                <w:szCs w:val="18"/>
                <w:rtl/>
              </w:rPr>
              <w:t xml:space="preserve"> [7]</w:t>
            </w:r>
          </w:p>
        </w:tc>
      </w:tr>
    </w:tbl>
    <w:p>
      <w:pPr>
        <w:bidi/>
      </w:pPr>
    </w:p>
    <w:p>
      <w:pPr>
        <w:pStyle w:val="Heading1"/>
        <w:pageBreakBefore/>
        <w:bidi/>
      </w:pPr>
      <w:r>
        <w:rPr>
          <w:rtl/>
        </w:rPr>
        <w:t xml:space="preserve">ملاحظات عن الإمارات العربية المتحدة</w:t>
      </w:r>
    </w:p>
    <w:p>
      <w:pPr>
        <w:bidi/>
      </w:pPr>
      <w:r>
        <w:rPr>
          <w:rtl/>
        </w:rPr>
        <w:t xml:space="preserve">المرسوم بقانون رقم (25) لسنة 2025، والقانون الملغى في التعويض الاتفاقي.</w:t>
      </w:r>
      <w:r>
        <w:rPr>
          <w:rtl/>
        </w:rPr>
        <w:t xml:space="preserve"> [2][3]</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الظروف الاستثنائية</w:t>
            </w:r>
          </w:p>
        </w:tc>
        <w:tc>
          <w:tcPr>
            <w:tcMar>
              <w:top w:type="dxa" w:w="80"/>
              <w:left w:type="dxa" w:w="100"/>
              <w:bottom w:type="dxa" w:w="80"/>
              <w:right w:type="dxa" w:w="100"/>
            </w:tcMar>
          </w:tcPr>
          <w:p>
            <w:pPr>
              <w:bidi/>
              <w:spacing w:after="0"/>
            </w:pPr>
            <w:r>
              <w:rPr>
                <w:b w:val="false"/>
                <w:sz w:val="18"/>
                <w:szCs w:val="18"/>
                <w:rtl/>
              </w:rPr>
              <w:t xml:space="preserve">يجوز للمحكمة رد الالتزام المرهق إلى الحد المعقول أو الحكم بالفسخ، ويبطل الاتفاق على خلاف ذلك (المادة 224).</w:t>
            </w:r>
            <w:r>
              <w:rPr>
                <w:b w:val="false"/>
                <w:sz w:val="18"/>
                <w:szCs w:val="18"/>
                <w:rtl/>
              </w:rPr>
              <w:t xml:space="preserve"> [2]</w:t>
            </w:r>
          </w:p>
        </w:tc>
      </w:tr>
      <w:tr>
        <w:trPr>
          <w:cantSplit/>
        </w:trPr>
        <w:tc>
          <w:tcPr>
            <w:tcMar>
              <w:top w:type="dxa" w:w="80"/>
              <w:left w:type="dxa" w:w="100"/>
              <w:bottom w:type="dxa" w:w="80"/>
              <w:right w:type="dxa" w:w="100"/>
            </w:tcMar>
          </w:tcPr>
          <w:p>
            <w:pPr>
              <w:bidi/>
              <w:spacing w:after="0"/>
            </w:pPr>
            <w:r>
              <w:rPr>
                <w:b w:val="false"/>
                <w:sz w:val="18"/>
                <w:szCs w:val="18"/>
                <w:rtl/>
              </w:rPr>
              <w:t xml:space="preserve">التعويض الاتفاقي</w:t>
            </w:r>
          </w:p>
        </w:tc>
        <w:tc>
          <w:tcPr>
            <w:tcMar>
              <w:top w:type="dxa" w:w="80"/>
              <w:left w:type="dxa" w:w="100"/>
              <w:bottom w:type="dxa" w:w="80"/>
              <w:right w:type="dxa" w:w="100"/>
            </w:tcMar>
          </w:tcPr>
          <w:p>
            <w:pPr>
              <w:bidi/>
              <w:spacing w:after="0"/>
            </w:pPr>
            <w:r>
              <w:rPr>
                <w:b w:val="false"/>
                <w:sz w:val="18"/>
                <w:szCs w:val="18"/>
                <w:rtl/>
              </w:rPr>
              <w:t xml:space="preserve">المادة (390) من القانون رقم (5) لسنة 1985 كانت تجيز تحديد التعويض مقدماً مع سلطة القاضي في تعديله، وهي ملغاة من 1 يونيو 2026. ولا تورد هذه الصفحة رقم المادة المقابلة في القانون الجديد.</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المعاملات التجارية</w:t>
            </w:r>
          </w:p>
        </w:tc>
        <w:tc>
          <w:tcPr>
            <w:tcMar>
              <w:top w:type="dxa" w:w="80"/>
              <w:left w:type="dxa" w:w="100"/>
              <w:bottom w:type="dxa" w:w="80"/>
              <w:right w:type="dxa" w:w="100"/>
            </w:tcMar>
          </w:tcPr>
          <w:p>
            <w:pPr>
              <w:bidi/>
              <w:spacing w:after="0"/>
            </w:pPr>
            <w:r>
              <w:rPr>
                <w:b w:val="false"/>
                <w:sz w:val="18"/>
                <w:szCs w:val="18"/>
                <w:rtl/>
              </w:rPr>
              <w:t xml:space="preserve">العقود التجارية يحكمها أيضاً المرسوم بقانون رقم (50) لسنة 2022. ولا يُذكر رقم مادة منه هنا.</w:t>
            </w:r>
            <w:r>
              <w:rPr>
                <w:b w:val="false"/>
                <w:sz w:val="18"/>
                <w:szCs w:val="18"/>
                <w:rtl/>
              </w:rPr>
              <w:t xml:space="preserve"> [8]</w:t>
            </w:r>
          </w:p>
        </w:tc>
      </w:tr>
    </w:tbl>
    <w:p>
      <w:pPr>
        <w:bidi/>
      </w:pPr>
    </w:p>
    <w:p>
      <w:pPr>
        <w:pStyle w:val="Heading1"/>
        <w:pageBreakBefore/>
        <w:bidi/>
      </w:pPr>
      <w:r>
        <w:rPr>
          <w:rtl/>
        </w:rPr>
        <w:t xml:space="preserve">ملاحظات عن مملكة البحرين</w:t>
      </w:r>
    </w:p>
    <w:p>
      <w:pPr>
        <w:bidi/>
      </w:pPr>
      <w:r>
        <w:rPr>
          <w:rtl/>
        </w:rPr>
        <w:t xml:space="preserve">القانون المدني الصادر بالمرسوم بقانون رقم (19) لسنة 2001.</w:t>
      </w:r>
      <w:r>
        <w:rPr>
          <w:rtl/>
        </w:rPr>
        <w:t xml:space="preserve"> [4]</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الإرهاق</w:t>
            </w:r>
          </w:p>
        </w:tc>
        <w:tc>
          <w:tcPr>
            <w:tcMar>
              <w:top w:type="dxa" w:w="80"/>
              <w:left w:type="dxa" w:w="100"/>
              <w:bottom w:type="dxa" w:w="80"/>
              <w:right w:type="dxa" w:w="100"/>
            </w:tcMar>
          </w:tcPr>
          <w:p>
            <w:pPr>
              <w:bidi/>
              <w:spacing w:after="0"/>
            </w:pPr>
            <w:r>
              <w:rPr>
                <w:b w:val="false"/>
                <w:sz w:val="18"/>
                <w:szCs w:val="18"/>
                <w:rtl/>
              </w:rPr>
              <w:t xml:space="preserve">للقاضي رد الالتزام المرهق إلى الحد المعقول (المادة 130).</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التعويض المتفق عليه</w:t>
            </w:r>
          </w:p>
        </w:tc>
        <w:tc>
          <w:tcPr>
            <w:tcMar>
              <w:top w:type="dxa" w:w="80"/>
              <w:left w:type="dxa" w:w="100"/>
              <w:bottom w:type="dxa" w:w="80"/>
              <w:right w:type="dxa" w:w="100"/>
            </w:tcMar>
          </w:tcPr>
          <w:p>
            <w:pPr>
              <w:bidi/>
              <w:spacing w:after="0"/>
            </w:pPr>
            <w:r>
              <w:rPr>
                <w:b w:val="false"/>
                <w:sz w:val="18"/>
                <w:szCs w:val="18"/>
                <w:rtl/>
              </w:rPr>
              <w:t xml:space="preserve">لا يُستحق إذا أثبت المدين انتفاء الضرر، وللمحكمة تخفيضه (المادة 226).</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ما يجاوز المبلغ</w:t>
            </w:r>
          </w:p>
        </w:tc>
        <w:tc>
          <w:tcPr>
            <w:tcMar>
              <w:top w:type="dxa" w:w="80"/>
              <w:left w:type="dxa" w:w="100"/>
              <w:bottom w:type="dxa" w:w="80"/>
              <w:right w:type="dxa" w:w="100"/>
            </w:tcMar>
          </w:tcPr>
          <w:p>
            <w:pPr>
              <w:bidi/>
              <w:spacing w:after="0"/>
            </w:pPr>
            <w:r>
              <w:rPr>
                <w:b w:val="false"/>
                <w:sz w:val="18"/>
                <w:szCs w:val="18"/>
                <w:rtl/>
              </w:rPr>
              <w:t xml:space="preserve">لا يُطالب الدائن بأكثر إلا عند الغش أو الخطأ الجسيم (المادة 227).</w:t>
            </w:r>
            <w:r>
              <w:rPr>
                <w:b w:val="false"/>
                <w:sz w:val="18"/>
                <w:szCs w:val="18"/>
                <w:rtl/>
              </w:rPr>
              <w:t xml:space="preserve"> [4]</w:t>
            </w:r>
          </w:p>
        </w:tc>
      </w:tr>
    </w:tbl>
    <w:p>
      <w:pPr>
        <w:bidi/>
      </w:pPr>
    </w:p>
    <w:p>
      <w:pPr>
        <w:pStyle w:val="Heading1"/>
        <w:pageBreakBefore/>
        <w:bidi/>
      </w:pPr>
      <w:r>
        <w:rPr>
          <w:rtl/>
        </w:rPr>
        <w:t xml:space="preserve">ملاحظات عن قطر وعُمان</w:t>
      </w:r>
    </w:p>
    <w:p>
      <w:pPr>
        <w:bidi/>
      </w:pPr>
      <w:r>
        <w:rPr>
          <w:rtl/>
        </w:rPr>
        <w:t xml:space="preserve">القانون المدني القطري، وقانون المعاملات المدنية العماني.</w:t>
      </w:r>
      <w:r>
        <w:rPr>
          <w:rtl/>
        </w:rPr>
        <w:t xml:space="preserve"> [5][6]</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الدولة</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قطر</w:t>
            </w:r>
          </w:p>
        </w:tc>
        <w:tc>
          <w:tcPr>
            <w:tcMar>
              <w:top w:type="dxa" w:w="80"/>
              <w:left w:type="dxa" w:w="100"/>
              <w:bottom w:type="dxa" w:w="80"/>
              <w:right w:type="dxa" w:w="100"/>
            </w:tcMar>
          </w:tcPr>
          <w:p>
            <w:pPr>
              <w:bidi/>
              <w:spacing w:after="0"/>
            </w:pPr>
            <w:r>
              <w:rPr>
                <w:b w:val="false"/>
                <w:sz w:val="18"/>
                <w:szCs w:val="18"/>
                <w:rtl/>
              </w:rPr>
              <w:t xml:space="preserve">عند حوادث استثنائية عامة غير متوقعة يجوز للقاضي رد الالتزام المرهق إلى الحد المعقول، ويبطل الاتفاق على خلاف ذلك (المادة 171).</w:t>
            </w:r>
            <w:r>
              <w:rPr>
                <w:b w:val="false"/>
                <w:sz w:val="18"/>
                <w:szCs w:val="18"/>
                <w:rtl/>
              </w:rPr>
              <w:t xml:space="preserve"> [5]</w:t>
            </w:r>
          </w:p>
        </w:tc>
      </w:tr>
      <w:tr>
        <w:trPr>
          <w:cantSplit/>
        </w:trPr>
        <w:tc>
          <w:tcPr>
            <w:tcMar>
              <w:top w:type="dxa" w:w="80"/>
              <w:left w:type="dxa" w:w="100"/>
              <w:bottom w:type="dxa" w:w="80"/>
              <w:right w:type="dxa" w:w="100"/>
            </w:tcMar>
          </w:tcPr>
          <w:p>
            <w:pPr>
              <w:bidi/>
              <w:spacing w:after="0"/>
            </w:pPr>
            <w:r>
              <w:rPr>
                <w:b w:val="false"/>
                <w:sz w:val="18"/>
                <w:szCs w:val="18"/>
                <w:rtl/>
              </w:rPr>
              <w:t xml:space="preserve">عُمان</w:t>
            </w:r>
          </w:p>
        </w:tc>
        <w:tc>
          <w:tcPr>
            <w:tcMar>
              <w:top w:type="dxa" w:w="80"/>
              <w:left w:type="dxa" w:w="100"/>
              <w:bottom w:type="dxa" w:w="80"/>
              <w:right w:type="dxa" w:w="100"/>
            </w:tcMar>
          </w:tcPr>
          <w:p>
            <w:pPr>
              <w:bidi/>
              <w:spacing w:after="0"/>
            </w:pPr>
            <w:r>
              <w:rPr>
                <w:b w:val="false"/>
                <w:sz w:val="18"/>
                <w:szCs w:val="18"/>
                <w:rtl/>
              </w:rPr>
              <w:t xml:space="preserve">للمحكمة رد الالتزام المرهق (المادة 159). ويجوز تحديد التعويض مقدماً إذا لم يكن المحل مبلغاً من النقود وللمحكمة تعديله (المادة 267). والقوة القاهرة تفسخ العقد الملزم للجانبين من تلقاء نفسه (المادة 172).</w:t>
            </w:r>
            <w:r>
              <w:rPr>
                <w:b w:val="false"/>
                <w:sz w:val="18"/>
                <w:szCs w:val="18"/>
                <w:rtl/>
              </w:rPr>
              <w:t xml:space="preserve"> [6]</w:t>
            </w:r>
          </w:p>
        </w:tc>
      </w:tr>
    </w:tbl>
    <w:p>
      <w:pPr>
        <w:bidi/>
      </w:pPr>
    </w:p>
    <w:p>
      <w:pPr>
        <w:pStyle w:val="Heading1"/>
        <w:bidi/>
      </w:pPr>
      <w:r>
        <w:rPr>
          <w:rtl/>
        </w:rPr>
        <w:t xml:space="preserve">الكويت</w:t>
      </w:r>
    </w:p>
    <w:p>
      <w:pPr>
        <w:pStyle w:val="ListParagraph"/>
        <w:numPr>
          <w:ilvl w:val="0"/>
          <w:numId w:val="2"/>
        </w:numPr>
        <w:bidi/>
      </w:pPr>
      <w:r>
        <w:rPr>
          <w:rtl/>
        </w:rPr>
        <w:t xml:space="preserve">لم يُتحقق من أرقام مواد الظروف الطارئة والشرط الجزائي في القانون المدني الكويتي. لا تنقلوا رقم مادة من دولة أخرى، وراجعوا النص مع محامٍ كويتي.</w:t>
      </w:r>
    </w:p>
    <w:p>
      <w:pPr>
        <w:pStyle w:val="Heading1"/>
        <w:pageBreakBefore/>
        <w:bidi/>
      </w:pPr>
      <w:r>
        <w:rPr>
          <w:rtl/>
        </w:rPr>
        <w:t xml:space="preserve">الملحق (1): الأسعار</w:t>
      </w:r>
    </w:p>
    <w:p>
      <w:pPr>
        <w:bidi/>
      </w:pPr>
      <w:r>
        <w:rPr>
          <w:rtl/>
        </w:rPr>
        <w:t xml:space="preserve">أمر الشراء يحيل إلى هذا الملحق. وأضيفوا صفوفاً بحسب الأصناف.</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01"/>
        <w:gridCol w:w="1901"/>
        <w:gridCol w:w="1901"/>
        <w:gridCol w:w="1901"/>
        <w:gridCol w:w="1901"/>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الصنف</w:t>
            </w:r>
          </w:p>
        </w:tc>
        <w:tc>
          <w:tcPr>
            <w:shd w:fill="EDEDED" w:color="auto" w:val="clear"/>
            <w:tcMar>
              <w:top w:type="dxa" w:w="80"/>
              <w:left w:type="dxa" w:w="100"/>
              <w:bottom w:type="dxa" w:w="80"/>
              <w:right w:type="dxa" w:w="100"/>
            </w:tcMar>
          </w:tcPr>
          <w:p>
            <w:pPr>
              <w:bidi/>
              <w:spacing w:after="0"/>
            </w:pPr>
            <w:r>
              <w:rPr>
                <w:b/>
                <w:bCs/>
                <w:sz w:val="18"/>
                <w:szCs w:val="18"/>
                <w:rtl/>
              </w:rPr>
              <w:t xml:space="preserve">الوحدة</w:t>
            </w:r>
          </w:p>
        </w:tc>
        <w:tc>
          <w:tcPr>
            <w:shd w:fill="EDEDED" w:color="auto" w:val="clear"/>
            <w:tcMar>
              <w:top w:type="dxa" w:w="80"/>
              <w:left w:type="dxa" w:w="100"/>
              <w:bottom w:type="dxa" w:w="80"/>
              <w:right w:type="dxa" w:w="100"/>
            </w:tcMar>
          </w:tcPr>
          <w:p>
            <w:pPr>
              <w:bidi/>
              <w:spacing w:after="0"/>
            </w:pPr>
            <w:r>
              <w:rPr>
                <w:b/>
                <w:bCs/>
                <w:sz w:val="18"/>
                <w:szCs w:val="18"/>
                <w:rtl/>
              </w:rPr>
              <w:t xml:space="preserve">السعر</w:t>
            </w:r>
          </w:p>
        </w:tc>
        <w:tc>
          <w:tcPr>
            <w:shd w:fill="EDEDED" w:color="auto" w:val="clear"/>
            <w:tcMar>
              <w:top w:type="dxa" w:w="80"/>
              <w:left w:type="dxa" w:w="100"/>
              <w:bottom w:type="dxa" w:w="80"/>
              <w:right w:type="dxa" w:w="100"/>
            </w:tcMar>
          </w:tcPr>
          <w:p>
            <w:pPr>
              <w:bidi/>
              <w:spacing w:after="0"/>
            </w:pPr>
            <w:r>
              <w:rPr>
                <w:b/>
                <w:bCs/>
                <w:sz w:val="18"/>
                <w:szCs w:val="18"/>
                <w:rtl/>
              </w:rPr>
              <w:t xml:space="preserve">مدة توريده</w:t>
            </w:r>
          </w:p>
        </w:tc>
      </w:tr>
      <w:tr>
        <w:trPr>
          <w:cantSplit/>
        </w:trPr>
        <w:tc>
          <w:tcPr>
            <w:tcMar>
              <w:top w:type="dxa" w:w="80"/>
              <w:left w:type="dxa" w:w="100"/>
              <w:bottom w:type="dxa" w:w="80"/>
              <w:right w:type="dxa" w:w="100"/>
            </w:tcMar>
          </w:tcPr>
          <w:p>
            <w:pPr>
              <w:bidi/>
              <w:spacing w:after="0"/>
            </w:pPr>
            <w:r>
              <w:rPr>
                <w:b w:val="false"/>
                <w:sz w:val="18"/>
                <w:szCs w:val="18"/>
                <w:rtl/>
              </w:rPr>
              <w:t xml:space="preserve">1</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الصنف</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الوحدة</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2</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الصنف</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الوحدة</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3</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الصنف</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الوحدة</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zkyibjsolmouskjhmcysl">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‪https://www.qanu.ai/ar/نماذج/نموذج-عقد-توريد‬ · آخر مراجعة: 22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هيئة الخبراء بمجلس الوزراء، نظام المعاملات المدنية الصادر بالمرسوم الملكي رقم (م/191) وتاريخ 29/11/1444هـ </w:t>
      </w:r>
      <w:hyperlink w:history="1" r:id="rIdyvjjsjmh5qfgiqlrx8-pk">
        <w:r>
          <w:rPr>
            <w:rStyle w:val="Hyperlink"/>
            <w:sz w:val="16"/>
            <w:szCs w:val="16"/>
          </w:rPr>
          <w:t xml:space="preserve">https://laws.boe.gov.sa/BoeLaws/Laws/LawDetails/655fdb42-8c96-422b-b8c4-b04f0095c94c/1</w:t>
        </w:r>
      </w:hyperlink>
    </w:p>
    <w:p>
      <w:pPr>
        <w:bidi/>
        <w:ind w:start="360" w:hanging="360"/>
      </w:pPr>
      <w:r>
        <w:rPr>
          <w:sz w:val="18"/>
          <w:szCs w:val="18"/>
          <w:rtl/>
        </w:rPr>
        <w:t xml:space="preserve">[2] تشريعات الإمارات، مرسوم بقانون اتحادي رقم (25) لسنة 2025 (قانون المعاملات المدنية) </w:t>
      </w:r>
      <w:hyperlink w:history="1" r:id="rIdftwg3jfqlvjhctkfxcqln">
        <w:r>
          <w:rPr>
            <w:rStyle w:val="Hyperlink"/>
            <w:sz w:val="16"/>
            <w:szCs w:val="16"/>
          </w:rPr>
          <w:t xml:space="preserve">https://uaelegislation.gov.ae/en/legislations/4011</w:t>
        </w:r>
      </w:hyperlink>
    </w:p>
    <w:p>
      <w:pPr>
        <w:bidi/>
        <w:ind w:start="360" w:hanging="360"/>
      </w:pPr>
      <w:r>
        <w:rPr>
          <w:sz w:val="18"/>
          <w:szCs w:val="18"/>
          <w:rtl/>
        </w:rPr>
        <w:t xml:space="preserve">[3] تشريعات الإمارات، القانون الاتحادي رقم (5) لسنة 1985 بشأن المعاملات المدنية، المادة (390)، ملغى من 1 يونيو 2026 </w:t>
      </w:r>
      <w:hyperlink w:history="1" r:id="rId8_jmmeygzuljt9qs_cvbg">
        <w:r>
          <w:rPr>
            <w:rStyle w:val="Hyperlink"/>
            <w:sz w:val="16"/>
            <w:szCs w:val="16"/>
          </w:rPr>
          <w:t xml:space="preserve">https://uaelegislation.gov.ae/en/legislations/1025</w:t>
        </w:r>
      </w:hyperlink>
    </w:p>
    <w:p>
      <w:pPr>
        <w:bidi/>
        <w:ind w:start="360" w:hanging="360"/>
      </w:pPr>
      <w:r>
        <w:rPr>
          <w:sz w:val="18"/>
          <w:szCs w:val="18"/>
          <w:rtl/>
        </w:rPr>
        <w:t xml:space="preserve">[4] هيئة التشريع والرأي القانوني، القانون المدني البحريني الصادر بالمرسوم بقانون رقم (19) لسنة 2001 </w:t>
      </w:r>
      <w:hyperlink w:history="1" r:id="rId1lutc4jf0vyynnzok-8uh">
        <w:r>
          <w:rPr>
            <w:rStyle w:val="Hyperlink"/>
            <w:sz w:val="16"/>
            <w:szCs w:val="16"/>
          </w:rPr>
          <w:t xml:space="preserve">https://www.lloc.gov.bh/Legislation/HTM/L1901</w:t>
        </w:r>
      </w:hyperlink>
    </w:p>
    <w:p>
      <w:pPr>
        <w:bidi/>
        <w:ind w:start="360" w:hanging="360"/>
      </w:pPr>
      <w:r>
        <w:rPr>
          <w:sz w:val="18"/>
          <w:szCs w:val="18"/>
          <w:rtl/>
        </w:rPr>
        <w:t xml:space="preserve">[5] الميزان، القانون المدني القطري رقم (22) لسنة 2004 </w:t>
      </w:r>
      <w:hyperlink w:history="1" r:id="rIdds94b1j-ttabphu4omi4a">
        <w:r>
          <w:rPr>
            <w:rStyle w:val="Hyperlink"/>
            <w:sz w:val="16"/>
            <w:szCs w:val="16"/>
          </w:rPr>
          <w:t xml:space="preserve">https://www.almeezan.qa/LawView.aspx?LawID=2559&amp;language=ar</w:t>
        </w:r>
      </w:hyperlink>
    </w:p>
    <w:p>
      <w:pPr>
        <w:bidi/>
        <w:ind w:start="360" w:hanging="360"/>
      </w:pPr>
      <w:r>
        <w:rPr>
          <w:sz w:val="18"/>
          <w:szCs w:val="18"/>
          <w:rtl/>
        </w:rPr>
        <w:t xml:space="preserve">[6] قانون المعاملات المدنية، المرسوم السلطاني رقم 29/2013 (قُرئ النص في qanoon.om وهي مرآة غير حكومية؛ الإدراج الرسمي لدى وزارة العدل والشؤون القانونية) </w:t>
      </w:r>
      <w:hyperlink w:history="1" r:id="rIdomlm5yqcpb0pvd98co2ri">
        <w:r>
          <w:rPr>
            <w:rStyle w:val="Hyperlink"/>
            <w:sz w:val="16"/>
            <w:szCs w:val="16"/>
          </w:rPr>
          <w:t xml:space="preserve">https://qanoon.om/p/2013/rd2013029/</w:t>
        </w:r>
      </w:hyperlink>
    </w:p>
    <w:p>
      <w:pPr>
        <w:bidi/>
        <w:ind w:start="360" w:hanging="360"/>
      </w:pPr>
      <w:r>
        <w:rPr>
          <w:sz w:val="18"/>
          <w:szCs w:val="18"/>
          <w:rtl/>
        </w:rPr>
        <w:t xml:space="preserve">[7] هيئة الخبراء بمجلس الوزراء، نظام المحاكم التجارية </w:t>
      </w:r>
      <w:hyperlink w:history="1" r:id="rIdlu3ozbikdchjoegtgs1_x">
        <w:r>
          <w:rPr>
            <w:rStyle w:val="Hyperlink"/>
            <w:sz w:val="16"/>
            <w:szCs w:val="16"/>
          </w:rPr>
          <w:t xml:space="preserve">https://laws.boe.gov.sa/BoeLaws/Laws/LawDetails/38334008-3b70-4c6c-b3af-aba3016a8061/1</w:t>
        </w:r>
      </w:hyperlink>
    </w:p>
    <w:p>
      <w:pPr>
        <w:bidi/>
        <w:ind w:start="360" w:hanging="360"/>
      </w:pPr>
      <w:r>
        <w:rPr>
          <w:sz w:val="18"/>
          <w:szCs w:val="18"/>
          <w:rtl/>
        </w:rPr>
        <w:t xml:space="preserve">[8] تشريعات الإمارات، المرسوم بقانون اتحادي رقم (50) لسنة 2022 بإصدار قانون المعاملات التجارية (التبليغ في المسائل التجارية؛ ولا تورد هذه الصفحة رقم المادة) </w:t>
      </w:r>
      <w:hyperlink w:history="1" r:id="rIdfwkvvh94dfl_onuuvemzy">
        <w:r>
          <w:rPr>
            <w:rStyle w:val="Hyperlink"/>
            <w:sz w:val="16"/>
            <w:szCs w:val="16"/>
          </w:rPr>
          <w:t xml:space="preserve">https://www.uaelegislation.gov.ae/en/legislations/1610</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pPr>
      <w:r>
        <w:rPr>
          <w:b/>
          <w:bCs/>
          <w:rtl/>
        </w:rPr>
        <w:t xml:space="preserve">ملاحظة صياغة</w:t>
      </w:r>
    </w:p>
    <w:p>
      <w:pPr>
        <w:bidi/>
      </w:pPr>
      <w:r>
        <w:rPr>
          <w:rtl/>
        </w:rPr>
        <w:t xml:space="preserve">هذا الإطار لا يقوم مقام </w:t>
      </w:r>
      <w:hyperlink w:history="1" r:id="rIdls1ral28bkvpmzg2jmjgm">
        <w:r>
          <w:rPr>
            <w:rStyle w:val="Hyperlink"/>
            <w:rtl/>
          </w:rPr>
          <w:t xml:space="preserve">الوكالة التجارية</w:t>
        </w:r>
      </w:hyperlink>
      <w:r>
        <w:rPr>
          <w:rtl/>
        </w:rPr>
        <w:t xml:space="preserve">، ولا يُسجل وكيلاً.</w:t>
      </w:r>
    </w:p>
  </w:comment>
  <w:comment w:id="1" w:initials="Q" w:author="Qanu" w:date="2026-10-22T00:00:00.000Z">
    <w:p>
      <w:pPr>
        <w:bidi/>
      </w:pPr>
      <w:r>
        <w:rPr>
          <w:b/>
          <w:bCs/>
          <w:rtl/>
        </w:rPr>
        <w:t xml:space="preserve">ملاحظة صياغة</w:t>
      </w:r>
    </w:p>
    <w:p>
      <w:pPr>
        <w:bidi/>
      </w:pPr>
      <w:r>
        <w:rPr>
          <w:rtl/>
        </w:rPr>
        <w:t xml:space="preserve">Incoterms شرط يتفق عليه الطرفان. وهو ليس مادة في نظام المعاملات المدنية.</w:t>
      </w:r>
    </w:p>
  </w:comment>
  <w:comment w:id="2" w:initials="Q" w:author="Qanu" w:date="2026-10-22T00:00:00.000Z">
    <w:p>
      <w:pPr>
        <w:bidi/>
      </w:pPr>
      <w:r>
        <w:rPr>
          <w:b/>
          <w:bCs/>
          <w:rtl/>
        </w:rPr>
        <w:t xml:space="preserve">ملاحظة صياغة</w:t>
      </w:r>
    </w:p>
    <w:p>
      <w:pPr>
        <w:bidi/>
      </w:pPr>
      <w:r>
        <w:rPr>
          <w:rtl/>
        </w:rPr>
        <w:t xml:space="preserve">لا تُثبَّت نسبة الضريبة في العقد. تُذكر النسبة النافذة في الفاتورة.</w:t>
      </w:r>
    </w:p>
  </w:comment>
  <w:comment w:id="3" w:initials="Q" w:author="Qanu" w:date="2026-10-22T00:00:00.000Z">
    <w:p>
      <w:pPr>
        <w:bidi/>
      </w:pPr>
      <w:r>
        <w:rPr>
          <w:b/>
          <w:bCs/>
          <w:rtl/>
        </w:rPr>
        <w:t xml:space="preserve">ملاحظة صياغة</w:t>
      </w:r>
    </w:p>
    <w:p>
      <w:pPr>
        <w:bidi/>
      </w:pPr>
      <w:r>
        <w:rPr>
          <w:rtl/>
        </w:rPr>
        <w:t xml:space="preserve">في السعودية لا يُستحق التعويض المحدد إذا أثبت المدين انتفاء الضرر، وللمحكمة إنقاصه أو زيادته، ولا يُشترط الإعذار لاستحقاقه إذا لم يكن المحل مبلغاً نقدياً.</w:t>
      </w:r>
      <w:r>
        <w:rPr>
          <w:rtl/>
        </w:rPr>
        <w:t xml:space="preserve"> [1]</w:t>
      </w:r>
      <w:r>
        <w:rPr>
          <w:rtl/>
        </w:rPr>
        <w:t xml:space="preserve"> وفي البحرين لا يُستحق إذا أثبت المدين انتفاء الضرر وللمحكمة تخفيضه، ولا يُطالب بأكثر من المبلغ إلا عند الغش أو الخطأ الجسيم.</w:t>
      </w:r>
      <w:r>
        <w:rPr>
          <w:rtl/>
        </w:rPr>
        <w:t xml:space="preserve"> [4]</w:t>
      </w:r>
      <w:r>
        <w:rPr>
          <w:rtl/>
        </w:rPr>
        <w:t xml:space="preserve"> وفي عُمان يجوز تحديده إذا لم يكن المحل مبلغاً من النقود، وللمحكمة تعديله.</w:t>
      </w:r>
      <w:r>
        <w:rPr>
          <w:rtl/>
        </w:rPr>
        <w:t xml:space="preserve"> [6]</w:t>
      </w:r>
      <w:r>
        <w:rPr>
          <w:rtl/>
        </w:rPr>
        <w:t xml:space="preserve"> وانظروا </w:t>
      </w:r>
      <w:hyperlink w:history="1" r:id="rIdmunzg6-3srddebelfgwdc">
        <w:r>
          <w:rPr>
            <w:rStyle w:val="Hyperlink"/>
            <w:rtl/>
          </w:rPr>
          <w:t xml:space="preserve">الشرط الجزائي</w:t>
        </w:r>
      </w:hyperlink>
      <w:r>
        <w:rPr>
          <w:rtl/>
        </w:rPr>
        <w:t xml:space="preserve"> و</w:t>
      </w:r>
      <w:hyperlink w:history="1" r:id="rId2_0ki4mq6_o7nur_bojmx">
        <w:r>
          <w:rPr>
            <w:rStyle w:val="Hyperlink"/>
            <w:rtl/>
          </w:rPr>
          <w:t xml:space="preserve">التعويض</w:t>
        </w:r>
      </w:hyperlink>
      <w:r>
        <w:rPr>
          <w:rtl/>
        </w:rPr>
        <w:t xml:space="preserve">.</w:t>
      </w:r>
    </w:p>
  </w:comment>
  <w:comment w:id="4" w:initials="Q" w:author="Qanu" w:date="2026-10-22T00:00:00.000Z">
    <w:p>
      <w:pPr>
        <w:bidi/>
      </w:pPr>
      <w:r>
        <w:rPr>
          <w:b/>
          <w:bCs/>
          <w:rtl/>
        </w:rPr>
        <w:t xml:space="preserve">ملاحظة صياغة</w:t>
      </w:r>
    </w:p>
    <w:p>
      <w:pPr>
        <w:bidi/>
      </w:pPr>
      <w:r>
        <w:rPr>
          <w:rtl/>
        </w:rPr>
        <w:t xml:space="preserve">في السعودية الاستحالة بسبب لا يد للمدين فيه تُنهي الالتزام وينفسخ ما يقابله، ويجوز الاتفاق على تحمّل المدين تبعة القوة القاهرة.</w:t>
      </w:r>
      <w:r>
        <w:rPr>
          <w:rtl/>
        </w:rPr>
        <w:t xml:space="preserve"> [1]</w:t>
      </w:r>
      <w:r>
        <w:rPr>
          <w:rtl/>
        </w:rPr>
        <w:t xml:space="preserve"> وفي عُمان القوة القاهرة في العقد الملزم للجانبين تفسخ العقد من تلقاء نفسه.</w:t>
      </w:r>
      <w:r>
        <w:rPr>
          <w:rtl/>
        </w:rPr>
        <w:t xml:space="preserve"> [6]</w:t>
      </w:r>
      <w:r>
        <w:rPr>
          <w:rtl/>
        </w:rPr>
        <w:t xml:space="preserve"> وانظروا </w:t>
      </w:r>
      <w:hyperlink w:history="1" r:id="rIdegjfkz0ze8lrfvthkot-z">
        <w:r>
          <w:rPr>
            <w:rStyle w:val="Hyperlink"/>
            <w:rtl/>
          </w:rPr>
          <w:t xml:space="preserve">القوة القاهرة</w:t>
        </w:r>
      </w:hyperlink>
      <w:r>
        <w:rPr>
          <w:rtl/>
        </w:rPr>
        <w:t xml:space="preserve">.</w:t>
      </w:r>
    </w:p>
  </w:comment>
  <w:comment w:id="5" w:initials="Q" w:author="Qanu" w:date="2026-10-22T00:00:00.000Z">
    <w:p>
      <w:pPr>
        <w:bidi/>
      </w:pPr>
      <w:r>
        <w:rPr>
          <w:b/>
          <w:bCs/>
          <w:rtl/>
        </w:rPr>
        <w:t xml:space="preserve">ملاحظة صياغة</w:t>
      </w:r>
    </w:p>
    <w:p>
      <w:pPr>
        <w:bidi/>
      </w:pPr>
      <w:r>
        <w:rPr>
          <w:rtl/>
        </w:rPr>
        <w:t xml:space="preserve">في السعودية للمدين طلب التفاوض، ولا يخوله ذلك الامتناع عن التنفيذ.</w:t>
      </w:r>
      <w:r>
        <w:rPr>
          <w:rtl/>
        </w:rPr>
        <w:t xml:space="preserve"> [1]</w:t>
      </w:r>
      <w:r>
        <w:rPr>
          <w:rtl/>
        </w:rPr>
        <w:t xml:space="preserve"> وفي الإمارات المادة (224): رد الالتزام المرهق إلى الحد المعقول أو الفسخ، ويبطل الاتفاق على خلاف ذلك.</w:t>
      </w:r>
      <w:r>
        <w:rPr>
          <w:rtl/>
        </w:rPr>
        <w:t xml:space="preserve"> [2]</w:t>
      </w:r>
      <w:r>
        <w:rPr>
          <w:rtl/>
        </w:rPr>
        <w:t xml:space="preserve"> وفي البحرين للقاضي رد الالتزام المرهق إلى الحد المعقول.</w:t>
      </w:r>
      <w:r>
        <w:rPr>
          <w:rtl/>
        </w:rPr>
        <w:t xml:space="preserve"> [4]</w:t>
      </w:r>
      <w:r>
        <w:rPr>
          <w:rtl/>
        </w:rPr>
        <w:t xml:space="preserve"> وفي قطر المادة (171)، ويقع باطلاً الاتفاق على خلاف ذلك.</w:t>
      </w:r>
      <w:r>
        <w:rPr>
          <w:rtl/>
        </w:rPr>
        <w:t xml:space="preserve"> [5]</w:t>
      </w:r>
      <w:r>
        <w:rPr>
          <w:rtl/>
        </w:rPr>
        <w:t xml:space="preserve"> وفي عُمان للمحكمة رد الالتزام المرهق.</w:t>
      </w:r>
      <w:r>
        <w:rPr>
          <w:rtl/>
        </w:rPr>
        <w:t xml:space="preserve"> [6]</w:t>
      </w:r>
    </w:p>
  </w:comment>
  <w:comment w:id="6" w:initials="Q" w:author="Qanu" w:date="2026-10-22T00:00:00.000Z">
    <w:p>
      <w:pPr>
        <w:bidi/>
      </w:pPr>
      <w:r>
        <w:rPr>
          <w:b/>
          <w:bCs/>
          <w:rtl/>
        </w:rPr>
        <w:t xml:space="preserve">ملاحظة صياغة</w:t>
      </w:r>
    </w:p>
    <w:p>
      <w:pPr>
        <w:bidi/>
      </w:pPr>
      <w:r>
        <w:rPr>
          <w:rtl/>
        </w:rPr>
        <w:t xml:space="preserve">سقف المسؤولية اتفاق. وهو لا يعطّل نصاً لا يجوز الاتفاق على خلافه، ومنه المادة (224) في الإمارات.</w:t>
      </w:r>
      <w:r>
        <w:rPr>
          <w:rtl/>
        </w:rPr>
        <w:t xml:space="preserve"> [2]</w:t>
      </w:r>
    </w:p>
  </w:comment>
  <w:comment w:id="7" w:initials="Q" w:author="Qanu" w:date="2026-10-22T00:00:00.000Z">
    <w:p>
      <w:pPr>
        <w:bidi/>
      </w:pPr>
      <w:r>
        <w:rPr>
          <w:b/>
          <w:bCs/>
          <w:rtl/>
        </w:rPr>
        <w:t xml:space="preserve">ملاحظة صياغة</w:t>
      </w:r>
    </w:p>
    <w:p>
      <w:pPr>
        <w:bidi/>
      </w:pPr>
      <w:r>
        <w:rPr>
          <w:rtl/>
        </w:rPr>
        <w:t xml:space="preserve">للتعريف انظروا </w:t>
      </w:r>
      <w:hyperlink w:history="1" r:id="rIdjau9gtvqckcoe3sxx-qbr">
        <w:r>
          <w:rPr>
            <w:rStyle w:val="Hyperlink"/>
            <w:rtl/>
          </w:rPr>
          <w:t xml:space="preserve">حماية البيانات الشخصية</w:t>
        </w:r>
      </w:hyperlink>
      <w:r>
        <w:rPr>
          <w:rtl/>
        </w:rPr>
        <w:t xml:space="preserve">. وهذا البند لا ينقل مادة من النظام.</w:t>
      </w:r>
    </w:p>
  </w:comment>
  <w:comment w:id="8" w:initials="Q" w:author="Qanu" w:date="2026-10-22T00:00:00.000Z">
    <w:p>
      <w:pPr>
        <w:bidi/>
      </w:pPr>
      <w:r>
        <w:rPr>
          <w:b/>
          <w:bCs/>
          <w:rtl/>
        </w:rPr>
        <w:t xml:space="preserve">ملاحظة صياغة</w:t>
      </w:r>
    </w:p>
    <w:p>
      <w:pPr>
        <w:bidi/>
      </w:pPr>
      <w:r>
        <w:rPr>
          <w:rtl/>
        </w:rPr>
        <w:t xml:space="preserve">في السعودية الفسخ لعدم التنفيذ يكون بعد الإعذار.</w:t>
      </w:r>
      <w:r>
        <w:rPr>
          <w:rtl/>
        </w:rPr>
        <w:t xml:space="preserve"> [1]</w:t>
      </w:r>
    </w:p>
  </w:comment>
  <w:comment w:id="9" w:initials="Q" w:author="Qanu" w:date="2026-10-22T00:00:00.000Z">
    <w:p>
      <w:pPr>
        <w:bidi/>
      </w:pPr>
      <w:r>
        <w:rPr>
          <w:b/>
          <w:bCs/>
          <w:rtl/>
        </w:rPr>
        <w:t xml:space="preserve">ملاحظة صياغة</w:t>
      </w:r>
    </w:p>
    <w:p>
      <w:pPr>
        <w:bidi/>
      </w:pPr>
      <w:r>
        <w:rPr>
          <w:rtl/>
        </w:rPr>
        <w:t xml:space="preserve">لا تُسمّى هذه الصفحة برنامجاً لم يُراجع نصه. اكتبوا البرنامج إن كان العقد داخلاً فيه.</w:t>
      </w:r>
    </w:p>
  </w:comment>
  <w:comment w:id="10" w:initials="Q" w:author="Qanu" w:date="2026-10-22T00:00:00.000Z">
    <w:p>
      <w:pPr>
        <w:bidi/>
      </w:pPr>
      <w:r>
        <w:rPr>
          <w:b/>
          <w:bCs/>
          <w:rtl/>
        </w:rPr>
        <w:t xml:space="preserve">ملاحظة صياغة</w:t>
      </w:r>
    </w:p>
    <w:p>
      <w:pPr>
        <w:bidi/>
      </w:pPr>
      <w:r>
        <w:rPr>
          <w:rtl/>
        </w:rPr>
        <w:t xml:space="preserve">في السعودية لا تُسمع الدعاوى التجارية بعد خمس سنوات من نشوء الحق ما لم يرد نص خاص.</w:t>
      </w:r>
      <w:r>
        <w:rPr>
          <w:rtl/>
        </w:rPr>
        <w:t xml:space="preserve"> [7]</w:t>
      </w:r>
      <w:r>
        <w:rPr>
          <w:rtl/>
        </w:rPr>
        <w:t xml:space="preserve"> وللتحكيم انظروا </w:t>
      </w:r>
      <w:hyperlink w:history="1" r:id="rIdz2aucbdpkzknnsxe76lr2">
        <w:r>
          <w:rPr>
            <w:rStyle w:val="Hyperlink"/>
            <w:rtl/>
          </w:rPr>
          <w:t xml:space="preserve">التحكيم</w:t>
        </w:r>
      </w:hyperlink>
      <w:r>
        <w:rPr>
          <w:rtl/>
        </w:rPr>
        <w:t xml:space="preserve">. وقبل التوقيع يمكن مراجعة المسودة في </w:t>
      </w:r>
      <w:hyperlink w:history="1" r:id="rIdefsm4snkeoa5ev0dwrr4-">
        <w:r>
          <w:rPr>
            <w:rStyle w:val="Hyperlink"/>
            <w:rtl/>
          </w:rPr>
          <w:t xml:space="preserve">مراجعة العقود</w:t>
        </w:r>
      </w:hyperlink>
      <w:r>
        <w:rPr>
          <w:rtl/>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B92BF45A-C236-65A1-5850-42E5E38F6FAF}"/>
    <w:embedBold r:id="rId2" w:fontKey="{ECCC6BB1-E553-EB32-6F99-89245654F0B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22 أكتوبر 2026 – ‪https://www.qanu.ai/ar/نماذج/نموذج-عقد-توريد‬</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22 أكتوبر 2026 – ‪https://www.qanu.ai/ar/نماذج/نموذج-عقد-توريد‬</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ls1ral28bkvpmzg2jmjgm" Type="http://schemas.openxmlformats.org/officeDocument/2006/relationships/hyperlink" Target="https://www.qanu.ai/ar/%D9%85%D8%B3%D8%B1%D8%AF-%D9%82%D8%A7%D9%86%D9%88%D9%86%D9%8A/%D9%88%D9%83%D8%A7%D9%84%D8%A9-%D8%AA%D8%AC%D8%A7%D8%B1%D9%8A%D8%A9" TargetMode="External"/><Relationship Id="rIdmunzg6-3srddebelfgwdc" Type="http://schemas.openxmlformats.org/officeDocument/2006/relationships/hyperlink" Target="https://www.qanu.ai/ar/%D9%85%D8%B3%D8%B1%D8%AF-%D9%82%D8%A7%D9%86%D9%88%D9%86%D9%8A/%D8%B4%D8%B1%D8%B7-%D8%AC%D8%B2%D8%A7%D8%A6%D9%8A" TargetMode="External"/><Relationship Id="rId2_0ki4mq6_o7nur_bojmx" Type="http://schemas.openxmlformats.org/officeDocument/2006/relationships/hyperlink" Target="https://www.qanu.ai/ar/%D9%85%D8%B3%D8%B1%D8%AF-%D9%82%D8%A7%D9%86%D9%88%D9%86%D9%8A/%D8%AA%D8%B9%D9%88%D9%8A%D8%B6" TargetMode="External"/><Relationship Id="rIdegjfkz0ze8lrfvthkot-z" Type="http://schemas.openxmlformats.org/officeDocument/2006/relationships/hyperlink" Target="https://www.qanu.ai/ar/%D9%85%D8%B3%D8%B1%D8%AF-%D9%82%D8%A7%D9%86%D9%88%D9%86%D9%8A/%D9%82%D9%88%D8%A9-%D9%82%D8%A7%D9%87%D8%B1%D8%A9" TargetMode="External"/><Relationship Id="rIdjau9gtvqckcoe3sxx-qbr" Type="http://schemas.openxmlformats.org/officeDocument/2006/relationships/hyperlink" Target="https://www.qanu.ai/ar/%D9%85%D8%B3%D8%B1%D8%AF-%D9%82%D8%A7%D9%86%D9%88%D9%86%D9%8A/%D8%AD%D9%85%D8%A7%D9%8A%D8%A9-%D8%A7%D9%84%D8%A8%D9%8A%D8%A7%D9%86%D8%A7%D8%AA-%D8%A7%D9%84%D8%B4%D8%AE%D8%B5%D9%8A%D8%A9" TargetMode="External"/><Relationship Id="rIdz2aucbdpkzknnsxe76lr2" Type="http://schemas.openxmlformats.org/officeDocument/2006/relationships/hyperlink" Target="https://www.qanu.ai/ar/%D9%85%D8%B3%D8%B1%D8%AF-%D9%82%D8%A7%D9%86%D9%88%D9%86%D9%8A/%D8%AA%D8%AD%D9%83%D9%8A%D9%85" TargetMode="External"/><Relationship Id="rIdefsm4snkeoa5ev0dwrr4-" Type="http://schemas.openxmlformats.org/officeDocument/2006/relationships/hyperlink" Target="https://www.qanu.ai/ar/use-cases/%D9%85%D8%B1%D8%A7%D8%AC%D8%B9%D8%A9-%D9%88%D8%B5%D9%8A%D8%A7%D8%BA%D8%A9-%D8%A7%D9%84%D8%B9%D9%82%D9%88%D8%AF"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bendvtqqz7stnatexryes" Type="http://schemas.openxmlformats.org/officeDocument/2006/relationships/hyperlink" Target="https://laws.boe.gov.sa/BoeLaws/Laws/LawDetails/655fdb42-8c96-422b-b8c4-b04f0095c94c/1" TargetMode="External"/><Relationship Id="rIdnc7dig3ddwroo6gfdmxln" Type="http://schemas.openxmlformats.org/officeDocument/2006/relationships/hyperlink" Target="https://uaelegislation.gov.ae/en/legislations/4011" TargetMode="External"/><Relationship Id="rIdyztoulma3qla8mypa24dw" Type="http://schemas.openxmlformats.org/officeDocument/2006/relationships/hyperlink" Target="https://www.qanu.ai/ar/%D9%86%D9%85%D8%A7%D8%B0%D8%AC/%D9%86%D9%85%D9%88%D8%B0%D8%AC-%D8%B9%D9%82%D8%AF-%D8%A8%D9%8A%D8%B9" TargetMode="External"/><Relationship Id="rIdlasc9ipkpv9momy8e8ztx" Type="http://schemas.openxmlformats.org/officeDocument/2006/relationships/hyperlink" Target="https://www.qanu.ai/ar/%D9%86%D9%85%D8%A7%D8%B0%D8%AC/%D9%86%D9%85%D9%88%D8%B0%D8%AC-%D8%A7%D8%AA%D9%81%D8%A7%D9%82%D9%8A%D8%A9-%D8%B9%D8%AF%D9%85-%D8%A5%D9%81%D8%B5%D8%A7%D8%AD" TargetMode="External"/><Relationship Id="rIdzkyibjsolmouskjhmcysl" Type="http://schemas.openxmlformats.org/officeDocument/2006/relationships/hyperlink" Target="https://creativecommons.org/licenses/by/4.0/deed.ar" TargetMode="External"/><Relationship Id="rIdyvjjsjmh5qfgiqlrx8-pk" Type="http://schemas.openxmlformats.org/officeDocument/2006/relationships/hyperlink" Target="https://laws.boe.gov.sa/BoeLaws/Laws/LawDetails/655fdb42-8c96-422b-b8c4-b04f0095c94c/1" TargetMode="External"/><Relationship Id="rIdftwg3jfqlvjhctkfxcqln" Type="http://schemas.openxmlformats.org/officeDocument/2006/relationships/hyperlink" Target="https://uaelegislation.gov.ae/en/legislations/4011" TargetMode="External"/><Relationship Id="rId8_jmmeygzuljt9qs_cvbg" Type="http://schemas.openxmlformats.org/officeDocument/2006/relationships/hyperlink" Target="https://uaelegislation.gov.ae/en/legislations/1025" TargetMode="External"/><Relationship Id="rId1lutc4jf0vyynnzok-8uh" Type="http://schemas.openxmlformats.org/officeDocument/2006/relationships/hyperlink" Target="https://www.lloc.gov.bh/Legislation/HTM/L1901" TargetMode="External"/><Relationship Id="rIdds94b1j-ttabphu4omi4a" Type="http://schemas.openxmlformats.org/officeDocument/2006/relationships/hyperlink" Target="https://www.almeezan.qa/LawView.aspx?LawID=2559&amp;language=ar" TargetMode="External"/><Relationship Id="rIdomlm5yqcpb0pvd98co2ri" Type="http://schemas.openxmlformats.org/officeDocument/2006/relationships/hyperlink" Target="https://qanoon.om/p/2013/rd2013029/" TargetMode="External"/><Relationship Id="rIdlu3ozbikdchjoegtgs1_x" Type="http://schemas.openxmlformats.org/officeDocument/2006/relationships/hyperlink" Target="https://laws.boe.gov.sa/BoeLaws/Laws/LawDetails/38334008-3b70-4c6c-b3af-aba3016a8061/1" TargetMode="External"/><Relationship Id="rIdfwkvvh94dfl_onuuvemzy" Type="http://schemas.openxmlformats.org/officeDocument/2006/relationships/hyperlink" Target="https://www.uaelegislation.gov.ae/en/legislations/1610"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عقد توريد بضاعة بين شركتين</dc:title>
  <dc:creator>Qanu</dc:creator>
  <cp:keywords>عقد توريد, غرامة تأخير, قوة قاهرة,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2026-10-21T21:23:25.194Z</dcterms:created>
  <dcterms:modified xsi:type="dcterms:W3CDTF">2026-10-21T21:23:25.194Z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https://www.qanu.ai/ar/نماذج/نموذج-عقد-توريد</vt:lpwstr>
  </property>
</Properties>
</file>