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سجّلوا العقد الرسمي لدى وزارة الموارد البشرية والتوطين.</w:t>
      </w:r>
      <w:r>
        <w:rPr>
          <w:rtl/>
        </w:rPr>
        <w:t xml:space="preserve"> عقد العمل في القطاع الخاص على البر الرئيسي تحكمه </w:t>
      </w:r>
      <w:r>
        <w:rPr>
          <w:b/>
          <w:bCs/>
          <w:rtl/>
        </w:rPr>
        <w:t xml:space="preserve">المرسوم بقانون اتحادي رقم (33) لسنة 2021</w:t>
      </w:r>
      <w:r>
        <w:rPr>
          <w:rtl/>
        </w:rPr>
        <w:t xml:space="preserve">. ويُحرَّر من نسختين على النماذج التي تعتمدها </w:t>
      </w:r>
      <w:r>
        <w:rPr>
          <w:b/>
          <w:bCs/>
          <w:rtl/>
        </w:rPr>
        <w:t xml:space="preserve">الوزارة</w:t>
      </w:r>
      <w:r>
        <w:rPr>
          <w:rtl/>
        </w:rPr>
        <w:t xml:space="preserve">. والعقد محدد المدة ويجوز تجديده (المادة 8).</w:t>
      </w:r>
      <w:r>
        <w:rPr>
          <w:rtl/>
        </w:rPr>
        <w:t xml:space="preserve"> [1][4][2]</w:t>
      </w:r>
      <w:r>
        <w:rPr>
          <w:rtl/>
        </w:rPr>
        <w:t xml:space="preserve"> وعرض العمل الموقَّع يُسجَّل لدى الوزارة ويصبح العقد الملزم.</w:t>
      </w:r>
      <w:r>
        <w:rPr>
          <w:rtl/>
        </w:rPr>
        <w:t xml:space="preserve"> [3]</w:t>
      </w:r>
      <w:r>
        <w:rPr>
          <w:rtl/>
        </w:rPr>
        <w:t xml:space="preserve"> و</w:t>
      </w:r>
      <w:r>
        <w:rPr>
          <w:b/>
          <w:bCs/>
          <w:rtl/>
        </w:rPr>
        <w:t xml:space="preserve">مركز دبي المالي العالمي</w:t>
      </w:r>
      <w:r>
        <w:rPr>
          <w:rtl/>
        </w:rPr>
        <w:t xml:space="preserve"> و</w:t>
      </w:r>
      <w:r>
        <w:rPr>
          <w:b/>
          <w:bCs/>
          <w:rtl/>
        </w:rPr>
        <w:t xml:space="preserve">سوق أبوظبي العالمي</w:t>
      </w:r>
      <w:r>
        <w:rPr>
          <w:rtl/>
        </w:rPr>
        <w:t xml:space="preserve"> لكلٍّ منهما قانون توظيف خاص. وهذا النموذج مدرك لنموذج الوزارة على البر الرئيسي. وقوانين تلك المنطقتين قيد المراجعة بعد تسمية انفصالهما.</w:t>
      </w:r>
      <w:r>
        <w:rPr>
          <w:rtl/>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عقود العمل في الوزارة: </w:t>
      </w:r>
      <w:hyperlink w:history="1" r:id="rIdhuxe4pb5d5v8cjxh-p-9g">
        <w:r>
          <w:rPr>
            <w:rStyle w:val="Hyperlink"/>
            <w:sz w:val="17"/>
            <w:szCs w:val="17"/>
          </w:rPr>
          <w:t xml:space="preserve">‪https://www.mohre.gov.ae/en/services/issuancerenewal-of-employment-contracts-2022‬</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عقود العمل: مدتها ونماذجها: </w:t>
      </w:r>
      <w:hyperlink w:history="1" r:id="rId8ql-v7utm37wyi5a_kg_u">
        <w:r>
          <w:rPr>
            <w:rStyle w:val="Hyperlink"/>
            <w:sz w:val="17"/>
            <w:szCs w:val="17"/>
          </w:rPr>
          <w:t xml:space="preserve">‪https://u.ae/en/information-and-services/jobs/Sector-of-employment/employment-in-the-private-sector/employment-contracts-duration-and-models-in-the-private-sector‬</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المرسوم بقانون اتحادي رقم 33 لسنة 2021: </w:t>
      </w:r>
      <w:hyperlink w:history="1" r:id="rIdeiubaf3utkgarqbclay0a">
        <w:r>
          <w:rPr>
            <w:rStyle w:val="Hyperlink"/>
            <w:sz w:val="17"/>
            <w:szCs w:val="17"/>
          </w:rPr>
          <w:t xml:space="preserve">‪https://www.mohre.gov.ae/assets/download/dcafb8f4/Federal Decree-Law No. 33 of 2021 Regarding the Regulation of Employment Relationship and its amendments.pdf.aspx‬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مركز دبي المالي العالمي:</w:t>
      </w:r>
      <w:r>
        <w:rPr>
          <w:sz w:val="19"/>
          <w:szCs w:val="19"/>
          <w:rtl/>
        </w:rPr>
        <w:t xml:space="preserve"> قانون توظيف خاص (قانون المركز رقم 2 لسنة 2019). قيد المراجعة بعد هذا الاسم.</w:t>
      </w:r>
      <w:r>
        <w:rPr>
          <w:sz w:val="19"/>
          <w:szCs w:val="19"/>
          <w:rtl/>
        </w:rPr>
        <w:t xml:space="preserve"> [9]</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سوق أبوظبي العالمي:</w:t>
      </w:r>
      <w:r>
        <w:rPr>
          <w:sz w:val="19"/>
          <w:szCs w:val="19"/>
          <w:rtl/>
        </w:rPr>
        <w:t xml:space="preserve"> نظام توظيف خاص عبر مكتب شؤون التوظيف. قيد المراجعة بعد هذا الاسم.</w:t>
      </w:r>
      <w:r>
        <w:rPr>
          <w:sz w:val="19"/>
          <w:szCs w:val="19"/>
          <w:rtl/>
        </w:rPr>
        <w:t xml:space="preserve"> [8]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السعودية:</w:t>
      </w:r>
      <w:r>
        <w:rPr>
          <w:sz w:val="19"/>
          <w:szCs w:val="19"/>
          <w:rtl/>
        </w:rPr>
        <w:t xml:space="preserve"> يُوثَّق العقد في قوى. استخدموا </w:t>
      </w:r>
      <w:hyperlink w:history="1" r:id="rIdoojxrmgd0z_l-cn3lbvxf">
        <w:r>
          <w:rPr>
            <w:rStyle w:val="Hyperlink"/>
            <w:sz w:val="19"/>
            <w:szCs w:val="19"/>
            <w:rtl/>
          </w:rPr>
          <w:t xml:space="preserve">عقد العمل السعودي</w:t>
        </w:r>
      </w:hyperlink>
      <w:r>
        <w:rPr>
          <w:sz w:val="19"/>
          <w:szCs w:val="19"/>
          <w:rtl/>
        </w:rPr>
        <w:t xml:space="preserve">.</w:t>
      </w:r>
      <w:r>
        <w:rPr>
          <w:sz w:val="19"/>
          <w:szCs w:val="19"/>
          <w:rtl/>
        </w:rPr>
        <w:t xml:space="preserve"> [13][12]</w:t>
      </w:r>
    </w:p>
    <w:p>
      <w:pPr>
        <w:bidi/>
        <w:spacing w:after="240"/>
      </w:pPr>
    </w:p>
    <w:p>
      <w:pPr>
        <w:pStyle w:val="Title"/>
        <w:bidi/>
      </w:pPr>
      <w:r>
        <w:rPr>
          <w:rtl/>
        </w:rPr>
        <w:t xml:space="preserve">عقد عمل إماراتي</w:t>
      </w:r>
    </w:p>
    <w:p>
      <w:pPr>
        <w:bidi/>
        <w:spacing w:after="240"/>
      </w:pPr>
      <w:r>
        <w:rPr>
          <w:color w:val="444444"/>
          <w:rtl/>
        </w:rPr>
        <w:t xml:space="preserve">قائمة شروط للقطاع الخاص على البر الرئيسي في الإمارات: الطرفان، والوظيفة، والمدة، والأجر، والإشعار، ومكافأة نهاية الخدمة. والعقد الموثَّق لدى الوزارة هو الملزم. وهو ليس عقد مركز دبي المالي ولا سوق أبوظبي العالمي ولا عقد قوى.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الطرفان</w:t>
      </w:r>
      <w:commentRangeEnd w:id="0"/>
      <w:r>
        <w:rPr>
          <w:rtl/>
        </w:rPr>
        <w:commentReference w:id="0"/>
      </w:r>
    </w:p>
    <w:p>
      <w:pPr>
        <w:bidi/>
      </w:pPr>
      <w:r>
        <w:rPr>
          <w:rtl/>
        </w:rPr>
        <w:t xml:space="preserve">حُرِّر هذا العقد بتاريخ </w:t>
      </w:r>
      <w:r>
        <w:rPr>
          <w:highlight w:val="yellow"/>
          <w:rtl/>
        </w:rPr>
        <w:t xml:space="preserve">[</w:t>
      </w:r>
      <w:r>
        <w:rPr>
          <w:highlight w:val="yellow"/>
          <w:rtl/>
        </w:rPr>
        <w:t xml:space="preserve">التاريخ</w:t>
      </w:r>
      <w:r>
        <w:rPr>
          <w:highlight w:val="yellow"/>
          <w:rtl/>
        </w:rPr>
        <w:t xml:space="preserve">]</w:t>
      </w:r>
      <w:r>
        <w:rPr>
          <w:rtl/>
        </w:rPr>
        <w:t xml:space="preserve"> في مدينة </w:t>
      </w:r>
      <w:r>
        <w:rPr>
          <w:highlight w:val="yellow"/>
          <w:rtl/>
        </w:rPr>
        <w:t xml:space="preserve">[</w:t>
      </w:r>
      <w:r>
        <w:rPr>
          <w:highlight w:val="yellow"/>
          <w:rtl/>
        </w:rPr>
        <w:t xml:space="preserve">●</w:t>
      </w:r>
      <w:r>
        <w:rPr>
          <w:highlight w:val="yellow"/>
          <w:rtl/>
        </w:rPr>
        <w:t xml:space="preserve">]</w:t>
      </w:r>
      <w:r>
        <w:rPr>
          <w:rtl/>
        </w:rPr>
        <w:t xml:space="preserve"> بين: (1) </w:t>
      </w:r>
      <w:r>
        <w:rPr>
          <w:highlight w:val="yellow"/>
          <w:rtl/>
        </w:rPr>
        <w:t xml:space="preserve">[</w:t>
      </w:r>
      <w:r>
        <w:rPr>
          <w:highlight w:val="yellow"/>
          <w:rtl/>
        </w:rPr>
        <w:t xml:space="preserve">اسم صاحب العمل</w:t>
      </w:r>
      <w:r>
        <w:rPr>
          <w:highlight w:val="yellow"/>
          <w:rtl/>
        </w:rPr>
        <w:t xml:space="preserve">]</w:t>
      </w:r>
      <w:r>
        <w:rPr>
          <w:rtl/>
        </w:rPr>
        <w:t xml:space="preserve">، </w:t>
      </w:r>
      <w:r>
        <w:rPr>
          <w:highlight w:val="yellow"/>
          <w:rtl/>
        </w:rPr>
        <w:t xml:space="preserve">[</w:t>
      </w:r>
      <w:r>
        <w:rPr>
          <w:highlight w:val="yellow"/>
          <w:rtl/>
        </w:rPr>
        <w:t xml:space="preserve">الشكل النظامي</w:t>
      </w:r>
      <w:r>
        <w:rPr>
          <w:highlight w:val="yellow"/>
          <w:rtl/>
        </w:rPr>
        <w:t xml:space="preserve">]</w:t>
      </w:r>
      <w:r>
        <w:rPr>
          <w:rtl/>
        </w:rPr>
        <w:t xml:space="preserve">، سجل تجاري رقم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ويمثّله </w:t>
      </w:r>
      <w:r>
        <w:rPr>
          <w:highlight w:val="yellow"/>
          <w:rtl/>
        </w:rPr>
        <w:t xml:space="preserve">[</w:t>
      </w:r>
      <w:r>
        <w:rPr>
          <w:highlight w:val="yellow"/>
          <w:rtl/>
        </w:rPr>
        <w:t xml:space="preserve">الاسم والصفة</w:t>
      </w:r>
      <w:r>
        <w:rPr>
          <w:highlight w:val="yellow"/>
          <w:rtl/>
        </w:rPr>
        <w:t xml:space="preserve">]</w:t>
      </w:r>
      <w:r>
        <w:rPr>
          <w:rtl/>
        </w:rPr>
        <w:t xml:space="preserve"> (ويُشار إليه بـ«صاحب العمل»)؛ و(2) </w:t>
      </w:r>
      <w:r>
        <w:rPr>
          <w:highlight w:val="yellow"/>
          <w:rtl/>
        </w:rPr>
        <w:t xml:space="preserve">[</w:t>
      </w:r>
      <w:r>
        <w:rPr>
          <w:highlight w:val="yellow"/>
          <w:rtl/>
        </w:rPr>
        <w:t xml:space="preserve">اسم العامل</w:t>
      </w:r>
      <w:r>
        <w:rPr>
          <w:highlight w:val="yellow"/>
          <w:rtl/>
        </w:rPr>
        <w:t xml:space="preserve">]</w:t>
      </w:r>
      <w:r>
        <w:rPr>
          <w:rtl/>
        </w:rPr>
        <w:t xml:space="preserve">، الجنسية </w:t>
      </w:r>
      <w:r>
        <w:rPr>
          <w:highlight w:val="yellow"/>
          <w:rtl/>
        </w:rPr>
        <w:t xml:space="preserve">[</w:t>
      </w:r>
      <w:r>
        <w:rPr>
          <w:highlight w:val="yellow"/>
          <w:rtl/>
        </w:rPr>
        <w:t xml:space="preserve">●</w:t>
      </w:r>
      <w:r>
        <w:rPr>
          <w:highlight w:val="yellow"/>
          <w:rtl/>
        </w:rPr>
        <w:t xml:space="preserve">]</w:t>
      </w:r>
      <w:r>
        <w:rPr>
          <w:rtl/>
        </w:rPr>
        <w:t xml:space="preserve">، رقم الهوية/الإقامة/جواز السفر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(ويُشار إليه بـ«العامل»).</w:t>
      </w:r>
    </w:p>
    <w:p>
      <w:pPr>
        <w:pStyle w:val="Heading1"/>
        <w:bidi/>
      </w:pPr>
      <w:r>
        <w:rPr>
          <w:rtl/>
        </w:rPr>
        <w:t xml:space="preserve">البند (2): الوظيفة ومكان العمل</w:t>
      </w:r>
    </w:p>
    <w:p>
      <w:pPr>
        <w:bidi/>
      </w:pPr>
      <w:r>
        <w:rPr>
          <w:rtl/>
        </w:rPr>
        <w:t xml:space="preserve">يعمل العامل بوظيفة </w:t>
      </w:r>
      <w:r>
        <w:rPr>
          <w:highlight w:val="yellow"/>
          <w:rtl/>
        </w:rPr>
        <w:t xml:space="preserve">[</w:t>
      </w:r>
      <w:r>
        <w:rPr>
          <w:highlight w:val="yellow"/>
          <w:rtl/>
        </w:rPr>
        <w:t xml:space="preserve">المسمى</w:t>
      </w:r>
      <w:r>
        <w:rPr>
          <w:highlight w:val="yellow"/>
          <w:rtl/>
        </w:rPr>
        <w:t xml:space="preserve">]</w:t>
      </w:r>
      <w:r>
        <w:rPr>
          <w:rtl/>
        </w:rPr>
        <w:t xml:space="preserve"> في </w:t>
      </w:r>
      <w:r>
        <w:rPr>
          <w:highlight w:val="yellow"/>
          <w:rtl/>
        </w:rPr>
        <w:t xml:space="preserve">[</w:t>
      </w:r>
      <w:r>
        <w:rPr>
          <w:highlight w:val="yellow"/>
          <w:rtl/>
        </w:rPr>
        <w:t xml:space="preserve">الإدارة</w:t>
      </w:r>
      <w:r>
        <w:rPr>
          <w:highlight w:val="yellow"/>
          <w:rtl/>
        </w:rPr>
        <w:t xml:space="preserve">]</w:t>
      </w:r>
      <w:r>
        <w:rPr>
          <w:rtl/>
        </w:rPr>
        <w:t xml:space="preserve">، ومكان العمل </w:t>
      </w:r>
      <w:r>
        <w:rPr>
          <w:highlight w:val="yellow"/>
          <w:rtl/>
        </w:rPr>
        <w:t xml:space="preserve">[</w:t>
      </w:r>
      <w:r>
        <w:rPr>
          <w:highlight w:val="yellow"/>
          <w:rtl/>
        </w:rPr>
        <w:t xml:space="preserve">الموقع على البر الرئيسي</w:t>
      </w:r>
      <w:r>
        <w:rPr>
          <w:highlight w:val="yellow"/>
          <w:rtl/>
        </w:rPr>
        <w:t xml:space="preserve">]</w:t>
      </w:r>
      <w:r>
        <w:rPr>
          <w:rtl/>
        </w:rPr>
        <w:t xml:space="preserve">. ويتبع </w:t>
      </w:r>
      <w:r>
        <w:rPr>
          <w:highlight w:val="yellow"/>
          <w:rtl/>
        </w:rPr>
        <w:t xml:space="preserve">[</w:t>
      </w:r>
      <w:r>
        <w:rPr>
          <w:highlight w:val="yellow"/>
          <w:rtl/>
        </w:rPr>
        <w:t xml:space="preserve">المسمى</w:t>
      </w:r>
      <w:r>
        <w:rPr>
          <w:highlight w:val="yellow"/>
          <w:rtl/>
        </w:rPr>
        <w:t xml:space="preserve">]</w:t>
      </w:r>
      <w:r>
        <w:rPr>
          <w:rtl/>
        </w:rPr>
        <w:t xml:space="preserve">.</w:t>
      </w:r>
    </w:p>
    <w:p>
      <w:pPr>
        <w:pStyle w:val="Heading1"/>
        <w:bidi/>
      </w:pPr>
      <w:r>
        <w:rPr>
          <w:rtl/>
        </w:rPr>
        <w:t xml:space="preserve">البند (3): تاريخ المباشرة والمدة وفترة التجربة</w:t>
      </w:r>
    </w:p>
    <w:p>
      <w:pPr>
        <w:bidi/>
      </w:pPr>
      <w:r>
        <w:rPr>
          <w:rtl/>
        </w:rPr>
        <w:t xml:space="preserve">يباشر العامل في </w:t>
      </w:r>
      <w:r>
        <w:rPr>
          <w:highlight w:val="yellow"/>
          <w:rtl/>
        </w:rPr>
        <w:t xml:space="preserve">[</w:t>
      </w:r>
      <w:r>
        <w:rPr>
          <w:highlight w:val="yellow"/>
          <w:rtl/>
        </w:rPr>
        <w:t xml:space="preserve">التاريخ</w:t>
      </w:r>
      <w:r>
        <w:rPr>
          <w:highlight w:val="yellow"/>
          <w:rtl/>
        </w:rPr>
        <w:t xml:space="preserve">]</w:t>
      </w:r>
      <w:r>
        <w:rPr>
          <w:rtl/>
        </w:rPr>
        <w:t xml:space="preserve">. وهذا العقد محدد المدة لمدة </w:t>
      </w:r>
      <w:r>
        <w:rPr>
          <w:highlight w:val="yellow"/>
          <w:rtl/>
        </w:rPr>
        <w:t xml:space="preserve">[</w:t>
      </w:r>
      <w:r>
        <w:rPr>
          <w:highlight w:val="yellow"/>
          <w:rtl/>
        </w:rPr>
        <w:t xml:space="preserve">●</w:t>
      </w:r>
      <w:r>
        <w:rPr>
          <w:highlight w:val="yellow"/>
          <w:rtl/>
        </w:rPr>
        <w:t xml:space="preserve">]</w:t>
      </w:r>
      <w:r>
        <w:rPr>
          <w:rtl/>
        </w:rPr>
        <w:t xml:space="preserve"> من تاريخ المباشرة، ويجوز تجديده (المادة 8).</w:t>
      </w:r>
    </w:p>
    <w:p>
      <w:pPr>
        <w:bidi/>
      </w:pPr>
      <w:r>
        <w:rPr>
          <w:b/>
          <w:bCs/>
          <w:rtl/>
        </w:rPr>
        <w:t xml:space="preserve">خيار:</w:t>
      </w:r>
      <w:r>
        <w:rPr>
          <w:rtl/>
        </w:rPr>
        <w:t xml:space="preserve"> يخضع العامل لفترة تجربة مدتها </w:t>
      </w:r>
      <w:r>
        <w:rPr>
          <w:highlight w:val="yellow"/>
          <w:rtl/>
        </w:rPr>
        <w:t xml:space="preserve">[</w:t>
      </w:r>
      <w:r>
        <w:rPr>
          <w:highlight w:val="yellow"/>
          <w:rtl/>
        </w:rPr>
        <w:t xml:space="preserve">●</w:t>
      </w:r>
      <w:r>
        <w:rPr>
          <w:highlight w:val="yellow"/>
          <w:rtl/>
        </w:rPr>
        <w:t xml:space="preserve">]</w:t>
      </w:r>
      <w:r>
        <w:rPr>
          <w:rtl/>
        </w:rPr>
        <w:t xml:space="preserve"> يوماً من تاريخ المباشرة، ولا تجاوز ستة أشهر. وفي فترة التجربة تُطبَّق المادة 9: على صاحب العمل إخطار كتابي لا يقل عن أربعة عشر يوماً؛ وعلى العامل المنتقل إلى صاحب عمل آخر في الدولة شهر على الأقل؛ وعلى العامل الأجنبي المغادر للدولة أربعة عشر يوماً على الأقل.</w:t>
      </w:r>
    </w:p>
    <w:p>
      <w:pPr>
        <w:pStyle w:val="Heading1"/>
        <w:bidi/>
      </w:pPr>
      <w:commentRangeStart w:id="1"/>
      <w:r>
        <w:rPr>
          <w:rtl/>
        </w:rPr>
        <w:t xml:space="preserve">البند (4): الأجر والمزايا</w:t>
      </w:r>
      <w:commentRangeEnd w:id="1"/>
      <w:r>
        <w:rPr>
          <w:rtl/>
        </w:rPr>
        <w:commentReference w:id="1"/>
      </w:r>
    </w:p>
    <w:p>
      <w:pPr>
        <w:bidi/>
      </w:pPr>
      <w:r>
        <w:rPr>
          <w:rtl/>
        </w:rPr>
        <w:t xml:space="preserve">الأجر الأساسي الشهري: </w:t>
      </w:r>
      <w:r>
        <w:rPr>
          <w:highlight w:val="yellow"/>
          <w:rtl/>
        </w:rPr>
        <w:t xml:space="preserve">[</w:t>
      </w:r>
      <w:r>
        <w:rPr>
          <w:highlight w:val="yellow"/>
          <w:rtl/>
        </w:rPr>
        <w:t xml:space="preserve">المبلغ والعملة</w:t>
      </w:r>
      <w:r>
        <w:rPr>
          <w:highlight w:val="yellow"/>
          <w:rtl/>
        </w:rPr>
        <w:t xml:space="preserve">]</w:t>
      </w:r>
      <w:r>
        <w:rPr>
          <w:rtl/>
        </w:rPr>
        <w:t xml:space="preserve">. البدلات: السكن </w:t>
      </w:r>
      <w:r>
        <w:rPr>
          <w:highlight w:val="yellow"/>
          <w:rtl/>
        </w:rPr>
        <w:t xml:space="preserve">[</w:t>
      </w:r>
      <w:r>
        <w:rPr>
          <w:highlight w:val="yellow"/>
          <w:rtl/>
        </w:rPr>
        <w:t xml:space="preserve">●</w:t>
      </w:r>
      <w:r>
        <w:rPr>
          <w:highlight w:val="yellow"/>
          <w:rtl/>
        </w:rPr>
        <w:t xml:space="preserve">]</w:t>
      </w:r>
      <w:r>
        <w:rPr>
          <w:rtl/>
        </w:rPr>
        <w:t xml:space="preserve">، والنقل </w:t>
      </w:r>
      <w:r>
        <w:rPr>
          <w:highlight w:val="yellow"/>
          <w:rtl/>
        </w:rPr>
        <w:t xml:space="preserve">[</w:t>
      </w:r>
      <w:r>
        <w:rPr>
          <w:highlight w:val="yellow"/>
          <w:rtl/>
        </w:rPr>
        <w:t xml:space="preserve">●</w:t>
      </w:r>
      <w:r>
        <w:rPr>
          <w:highlight w:val="yellow"/>
          <w:rtl/>
        </w:rPr>
        <w:t xml:space="preserve">]</w:t>
      </w:r>
      <w:r>
        <w:rPr>
          <w:rtl/>
        </w:rPr>
        <w:t xml:space="preserve">، وغيرها </w:t>
      </w:r>
      <w:r>
        <w:rPr>
          <w:highlight w:val="yellow"/>
          <w:rtl/>
        </w:rPr>
        <w:t xml:space="preserve">[</w:t>
      </w:r>
      <w:r>
        <w:rPr>
          <w:highlight w:val="yellow"/>
          <w:rtl/>
        </w:rPr>
        <w:t xml:space="preserve">●</w:t>
      </w:r>
      <w:r>
        <w:rPr>
          <w:highlight w:val="yellow"/>
          <w:rtl/>
        </w:rPr>
        <w:t xml:space="preserve">]</w:t>
      </w:r>
      <w:r>
        <w:rPr>
          <w:rtl/>
        </w:rPr>
        <w:t xml:space="preserve">. ويُدفع الأجر شهرياً بتحويل بنكي إلى حساب العامل.</w:t>
      </w:r>
    </w:p>
    <w:p>
      <w:pPr>
        <w:pStyle w:val="Heading1"/>
        <w:bidi/>
      </w:pPr>
      <w:r>
        <w:rPr>
          <w:rtl/>
        </w:rPr>
        <w:t xml:space="preserve">البند (5): التزامات الطرفين</w:t>
      </w:r>
    </w:p>
    <w:p>
      <w:pPr>
        <w:bidi/>
      </w:pPr>
      <w:r>
        <w:rPr>
          <w:rtl/>
        </w:rPr>
        <w:t xml:space="preserve">يؤدي العامل العمل بعناية، ويتبع التعليمات المشروعة، ويحافظ على مال صاحب العمل. ويوفّر صاحب العمل العمل المتفق عليه، ويدفع الأجر في موعده، ويوفّر مكان عمل آمناً.</w:t>
      </w:r>
    </w:p>
    <w:p>
      <w:pPr>
        <w:pStyle w:val="Heading1"/>
        <w:bidi/>
      </w:pPr>
      <w:commentRangeStart w:id="2"/>
      <w:r>
        <w:rPr>
          <w:rtl/>
        </w:rPr>
        <w:t xml:space="preserve">البند (6): الإنهاء والإشعار</w:t>
      </w:r>
      <w:commentRangeEnd w:id="2"/>
      <w:r>
        <w:rPr>
          <w:rtl/>
        </w:rPr>
        <w:commentReference w:id="2"/>
      </w:r>
    </w:p>
    <w:p>
      <w:pPr>
        <w:bidi/>
      </w:pPr>
      <w:r>
        <w:rPr>
          <w:rtl/>
        </w:rPr>
        <w:t xml:space="preserve">يجوز لأي طرف إنهاء هذا العقد لسبب مشروع بإخطار كتابي. ومدة الإشعار </w:t>
      </w:r>
      <w:r>
        <w:rPr>
          <w:highlight w:val="yellow"/>
          <w:rtl/>
        </w:rPr>
        <w:t xml:space="preserve">[</w:t>
      </w:r>
      <w:r>
        <w:rPr>
          <w:highlight w:val="yellow"/>
          <w:rtl/>
        </w:rPr>
        <w:t xml:space="preserve">●</w:t>
      </w:r>
      <w:r>
        <w:rPr>
          <w:highlight w:val="yellow"/>
          <w:rtl/>
        </w:rPr>
        <w:t xml:space="preserve">]</w:t>
      </w:r>
      <w:r>
        <w:rPr>
          <w:rtl/>
        </w:rPr>
        <w:t xml:space="preserve"> يوماً، لا تقل عن ثلاثين يوماً ولا تزيد على تسعين يوماً، وتكون واحدة للطرفين ما لم يكن الفرق في مصلحة العامل (المادة 43).</w:t>
      </w:r>
    </w:p>
    <w:p>
      <w:pPr>
        <w:pStyle w:val="Heading1"/>
        <w:bidi/>
      </w:pPr>
      <w:commentRangeStart w:id="3"/>
      <w:r>
        <w:rPr>
          <w:rtl/>
        </w:rPr>
        <w:t xml:space="preserve">البند (7): مكافأة نهاية الخدمة</w:t>
      </w:r>
      <w:commentRangeEnd w:id="3"/>
      <w:r>
        <w:rPr>
          <w:rtl/>
        </w:rPr>
        <w:commentReference w:id="3"/>
      </w:r>
    </w:p>
    <w:p>
      <w:pPr>
        <w:bidi/>
      </w:pPr>
      <w:r>
        <w:rPr>
          <w:rtl/>
        </w:rPr>
        <w:t xml:space="preserve">عند الانتهاء يستحق العامل الأجنبي بنظام الدوام الكامل إذا أتم سنة خدمة متصلة المكافأة وفق المادة 51: واحد وعشرون يوماً من الأجر الأساسي عن كل سنة من السنوات الخمس الأولى، وثلاثون يوماً عن كل سنة لاحقة، على آخر أجر أساسي، من غير البدلات. ولا شيء قبل تمام السنة. ولا يجاوز المجموع أجر سنتين. ويُدفع الأجر والمكافأة خلال أربعة عشر يوماً.</w:t>
      </w:r>
      <w:r>
        <w:rPr>
          <w:rtl/>
        </w:rPr>
        <w:t xml:space="preserve"> والمواطنون يأخذون مستحقهم وفق تشريع المعاشات، لا مقياس 21/30 يوماً.</w:t>
      </w:r>
    </w:p>
    <w:p>
      <w:pPr>
        <w:pStyle w:val="Heading1"/>
        <w:bidi/>
      </w:pPr>
      <w:commentRangeStart w:id="4"/>
      <w:r>
        <w:rPr>
          <w:rtl/>
        </w:rPr>
        <w:t xml:space="preserve">البند (8): العقد الرسمي واللغة والتوقيع</w:t>
      </w:r>
      <w:commentRangeEnd w:id="4"/>
      <w:r>
        <w:rPr>
          <w:rtl/>
        </w:rPr>
        <w:commentReference w:id="4"/>
      </w:r>
    </w:p>
    <w:p>
      <w:pPr>
        <w:bidi/>
      </w:pPr>
      <w:r>
        <w:rPr>
          <w:rtl/>
        </w:rPr>
        <w:t xml:space="preserve">يوثّق الطرفان هذا العقد لدى الوزارة. وإذا تعارض هذا المستند والعقد المسجَّل قُدِّم المسجَّل.</w:t>
      </w:r>
      <w:r>
        <w:rPr>
          <w:rtl/>
        </w:rPr>
        <w:t xml:space="preserve"> وهو بالعربية والإنجليزية، ويُقدَّم العربي ما لم يقل النموذج الرسمي غير ذلك. ويُوقَّع من نسختين.</w:t>
      </w:r>
    </w:p>
    <w:p>
      <w:pPr>
        <w:pBdr>
          <w:top w:val="single" w:color="888888" w:sz="6" w:space="6"/>
          <w:left w:val="single" w:color="888888" w:sz="6" w:space="6"/>
          <w:bottom w:val="single" w:color="888888" w:sz="6" w:space="6"/>
          <w:right w:val="single" w:color="888888" w:sz="6" w:space="6"/>
        </w:pBdr>
        <w:bidi/>
        <w:spacing w:after="120"/>
      </w:pPr>
      <w:r>
        <w:rPr>
          <w:b/>
          <w:bCs/>
          <w:rtl/>
        </w:rPr>
        <w:t xml:space="preserve">صاحب العمل: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العامل: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البر الرئيسي</w:t>
      </w:r>
    </w:p>
    <w:p>
      <w:pPr>
        <w:bidi/>
      </w:pPr>
      <w:r>
        <w:rPr>
          <w:rtl/>
        </w:rPr>
        <w:t xml:space="preserve">المرسوم بقانون اتحادي رقم (33) لسنة 2021 بشأن تنظيم علاقات العمل وتعديلاته.</w:t>
      </w:r>
      <w:r>
        <w:rPr>
          <w:rtl/>
        </w:rPr>
        <w:t xml:space="preserve"> [1][10]</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النطاق</w:t>
            </w:r>
          </w:p>
        </w:tc>
        <w:tc>
          <w:tcPr>
            <w:tcMar>
              <w:top w:type="dxa" w:w="80"/>
              <w:left w:type="dxa" w:w="100"/>
              <w:bottom w:type="dxa" w:w="80"/>
              <w:right w:type="dxa" w:w="100"/>
            </w:tcMar>
          </w:tcPr>
          <w:p>
            <w:pPr>
              <w:bidi/>
              <w:spacing w:after="0"/>
            </w:pPr>
            <w:r>
              <w:rPr>
                <w:b w:val="false"/>
                <w:sz w:val="18"/>
                <w:szCs w:val="18"/>
                <w:rtl/>
              </w:rPr>
              <w:t xml:space="preserve">القطاع الخاص. ويُستثنى موظفو الحكومة الاتحادية والمحلية، والقوات المسلحة، والشرطة والأمن، وعمال الخدمة المساعدة (المادة 3).</w:t>
            </w:r>
            <w:r>
              <w:rPr>
                <w:b w:val="false"/>
                <w:sz w:val="18"/>
                <w:szCs w:val="18"/>
                <w:rtl/>
              </w:rPr>
              <w:t xml:space="preserve"> [1][7]</w:t>
            </w:r>
          </w:p>
        </w:tc>
      </w:tr>
      <w:tr>
        <w:trPr>
          <w:cantSplit/>
        </w:trPr>
        <w:tc>
          <w:tcPr>
            <w:tcMar>
              <w:top w:type="dxa" w:w="80"/>
              <w:left w:type="dxa" w:w="100"/>
              <w:bottom w:type="dxa" w:w="80"/>
              <w:right w:type="dxa" w:w="100"/>
            </w:tcMar>
          </w:tcPr>
          <w:p>
            <w:pPr>
              <w:bidi/>
              <w:spacing w:after="0"/>
            </w:pPr>
            <w:r>
              <w:rPr>
                <w:b w:val="false"/>
                <w:sz w:val="18"/>
                <w:szCs w:val="18"/>
                <w:rtl/>
              </w:rPr>
              <w:t xml:space="preserve">الشكل</w:t>
            </w:r>
          </w:p>
        </w:tc>
        <w:tc>
          <w:tcPr>
            <w:tcMar>
              <w:top w:type="dxa" w:w="80"/>
              <w:left w:type="dxa" w:w="100"/>
              <w:bottom w:type="dxa" w:w="80"/>
              <w:right w:type="dxa" w:w="100"/>
            </w:tcMar>
          </w:tcPr>
          <w:p>
            <w:pPr>
              <w:bidi/>
              <w:spacing w:after="0"/>
            </w:pPr>
            <w:r>
              <w:rPr>
                <w:b w:val="false"/>
                <w:sz w:val="18"/>
                <w:szCs w:val="18"/>
                <w:rtl/>
              </w:rPr>
              <w:t xml:space="preserve">مكتوب من نسختين على النماذج التي تعتمدها الوزارة (المادة 8). والعقد المسجَّل ملزم.</w:t>
            </w:r>
            <w:r>
              <w:rPr>
                <w:b w:val="false"/>
                <w:sz w:val="18"/>
                <w:szCs w:val="18"/>
                <w:rtl/>
              </w:rPr>
              <w:t xml:space="preserve"> [1][2][3]</w:t>
            </w:r>
          </w:p>
        </w:tc>
      </w:tr>
      <w:tr>
        <w:trPr>
          <w:cantSplit/>
        </w:trPr>
        <w:tc>
          <w:tcPr>
            <w:tcMar>
              <w:top w:type="dxa" w:w="80"/>
              <w:left w:type="dxa" w:w="100"/>
              <w:bottom w:type="dxa" w:w="80"/>
              <w:right w:type="dxa" w:w="100"/>
            </w:tcMar>
          </w:tcPr>
          <w:p>
            <w:pPr>
              <w:bidi/>
              <w:spacing w:after="0"/>
            </w:pPr>
            <w:r>
              <w:rPr>
                <w:b w:val="false"/>
                <w:sz w:val="18"/>
                <w:szCs w:val="18"/>
                <w:rtl/>
              </w:rPr>
              <w:t xml:space="preserve">المدة</w:t>
            </w:r>
          </w:p>
        </w:tc>
        <w:tc>
          <w:tcPr>
            <w:tcMar>
              <w:top w:type="dxa" w:w="80"/>
              <w:left w:type="dxa" w:w="100"/>
              <w:bottom w:type="dxa" w:w="80"/>
              <w:right w:type="dxa" w:w="100"/>
            </w:tcMar>
          </w:tcPr>
          <w:p>
            <w:pPr>
              <w:bidi/>
              <w:spacing w:after="0"/>
            </w:pPr>
            <w:r>
              <w:rPr>
                <w:b w:val="false"/>
                <w:sz w:val="18"/>
                <w:szCs w:val="18"/>
                <w:rtl/>
              </w:rPr>
              <w:t xml:space="preserve">محدد المدة، قابل للتجديد (المادة 8).</w:t>
            </w:r>
            <w:r>
              <w:rPr>
                <w:b w:val="false"/>
                <w:sz w:val="18"/>
                <w:szCs w:val="18"/>
                <w:rtl/>
              </w:rPr>
              <w:t xml:space="preserve"> [1][4]</w:t>
            </w:r>
          </w:p>
        </w:tc>
      </w:tr>
      <w:tr>
        <w:trPr>
          <w:cantSplit/>
        </w:trPr>
        <w:tc>
          <w:tcPr>
            <w:tcMar>
              <w:top w:type="dxa" w:w="80"/>
              <w:left w:type="dxa" w:w="100"/>
              <w:bottom w:type="dxa" w:w="80"/>
              <w:right w:type="dxa" w:w="100"/>
            </w:tcMar>
          </w:tcPr>
          <w:p>
            <w:pPr>
              <w:bidi/>
              <w:spacing w:after="0"/>
            </w:pPr>
            <w:r>
              <w:rPr>
                <w:b w:val="false"/>
                <w:sz w:val="18"/>
                <w:szCs w:val="18"/>
                <w:rtl/>
              </w:rPr>
              <w:t xml:space="preserve">فترة التجربة</w:t>
            </w:r>
          </w:p>
        </w:tc>
        <w:tc>
          <w:tcPr>
            <w:tcMar>
              <w:top w:type="dxa" w:w="80"/>
              <w:left w:type="dxa" w:w="100"/>
              <w:bottom w:type="dxa" w:w="80"/>
              <w:right w:type="dxa" w:w="100"/>
            </w:tcMar>
          </w:tcPr>
          <w:p>
            <w:pPr>
              <w:bidi/>
              <w:spacing w:after="0"/>
            </w:pPr>
            <w:r>
              <w:rPr>
                <w:b w:val="false"/>
                <w:sz w:val="18"/>
                <w:szCs w:val="18"/>
                <w:rtl/>
              </w:rPr>
              <w:t xml:space="preserve">لا تجاوز ستة أشهر. والإنهاء أثناءها: صاحب العمل أربعة عشر يوماً على الأقل؛ والعامل المنتقل إلى صاحب عمل آخر في الدولة شهر على الأقل؛ والعامل الأجنبي المغادر أربعة عشر يوماً على الأقل (المادة 9).</w:t>
            </w:r>
            <w:r>
              <w:rPr>
                <w:b w:val="false"/>
                <w:sz w:val="18"/>
                <w:szCs w:val="18"/>
                <w:rtl/>
              </w:rPr>
              <w:t xml:space="preserve"> [1][4]</w:t>
            </w:r>
          </w:p>
        </w:tc>
      </w:tr>
      <w:tr>
        <w:trPr>
          <w:cantSplit/>
        </w:trPr>
        <w:tc>
          <w:tcPr>
            <w:tcMar>
              <w:top w:type="dxa" w:w="80"/>
              <w:left w:type="dxa" w:w="100"/>
              <w:bottom w:type="dxa" w:w="80"/>
              <w:right w:type="dxa" w:w="100"/>
            </w:tcMar>
          </w:tcPr>
          <w:p>
            <w:pPr>
              <w:bidi/>
              <w:spacing w:after="0"/>
            </w:pPr>
            <w:r>
              <w:rPr>
                <w:b w:val="false"/>
                <w:sz w:val="18"/>
                <w:szCs w:val="18"/>
                <w:rtl/>
              </w:rPr>
              <w:t xml:space="preserve">الإشعار</w:t>
            </w:r>
          </w:p>
        </w:tc>
        <w:tc>
          <w:tcPr>
            <w:tcMar>
              <w:top w:type="dxa" w:w="80"/>
              <w:left w:type="dxa" w:w="100"/>
              <w:bottom w:type="dxa" w:w="80"/>
              <w:right w:type="dxa" w:w="100"/>
            </w:tcMar>
          </w:tcPr>
          <w:p>
            <w:pPr>
              <w:bidi/>
              <w:spacing w:after="0"/>
            </w:pPr>
            <w:r>
              <w:rPr>
                <w:b w:val="false"/>
                <w:sz w:val="18"/>
                <w:szCs w:val="18"/>
                <w:rtl/>
              </w:rPr>
              <w:t xml:space="preserve">لا يقل عن ثلاثين يوماً ولا يزيد على تسعين يوماً، واحد للطرفين ما لم يكن الفرق في مصلحة العامل (المادة 43).</w:t>
            </w:r>
            <w:r>
              <w:rPr>
                <w:b w:val="false"/>
                <w:sz w:val="18"/>
                <w:szCs w:val="18"/>
                <w:rtl/>
              </w:rPr>
              <w:t xml:space="preserve"> [1][5][10]</w:t>
            </w:r>
          </w:p>
        </w:tc>
      </w:tr>
      <w:tr>
        <w:trPr>
          <w:cantSplit/>
        </w:trPr>
        <w:tc>
          <w:tcPr>
            <w:tcMar>
              <w:top w:type="dxa" w:w="80"/>
              <w:left w:type="dxa" w:w="100"/>
              <w:bottom w:type="dxa" w:w="80"/>
              <w:right w:type="dxa" w:w="100"/>
            </w:tcMar>
          </w:tcPr>
          <w:p>
            <w:pPr>
              <w:bidi/>
              <w:spacing w:after="0"/>
            </w:pPr>
            <w:r>
              <w:rPr>
                <w:b w:val="false"/>
                <w:sz w:val="18"/>
                <w:szCs w:val="18"/>
                <w:rtl/>
              </w:rPr>
              <w:t xml:space="preserve">المكافأة (عامل أجنبي دوام كامل)</w:t>
            </w:r>
          </w:p>
        </w:tc>
        <w:tc>
          <w:tcPr>
            <w:tcMar>
              <w:top w:type="dxa" w:w="80"/>
              <w:left w:type="dxa" w:w="100"/>
              <w:bottom w:type="dxa" w:w="80"/>
              <w:right w:type="dxa" w:w="100"/>
            </w:tcMar>
          </w:tcPr>
          <w:p>
            <w:pPr>
              <w:bidi/>
              <w:spacing w:after="0"/>
            </w:pPr>
            <w:r>
              <w:rPr>
                <w:b w:val="false"/>
                <w:sz w:val="18"/>
                <w:szCs w:val="18"/>
                <w:rtl/>
              </w:rPr>
              <w:t xml:space="preserve">بعد سنة: 21 يوماً من الأجر الأساسي عن كل سنة من الخمس الأولى، ثم 30 يوماً؛ والبدلات خارجة؛ ولا شيء قبل السنة؛ وحد أقصى أجر سنتين؛ والدفع خلال 14 يوماً (المادة 51).</w:t>
            </w:r>
            <w:r>
              <w:rPr>
                <w:b w:val="false"/>
                <w:sz w:val="18"/>
                <w:szCs w:val="18"/>
                <w:rtl/>
              </w:rPr>
              <w:t xml:space="preserve"> [1][6][11]</w:t>
            </w:r>
          </w:p>
        </w:tc>
      </w:tr>
      <w:tr>
        <w:trPr>
          <w:cantSplit/>
        </w:trPr>
        <w:tc>
          <w:tcPr>
            <w:tcMar>
              <w:top w:type="dxa" w:w="80"/>
              <w:left w:type="dxa" w:w="100"/>
              <w:bottom w:type="dxa" w:w="80"/>
              <w:right w:type="dxa" w:w="100"/>
            </w:tcMar>
          </w:tcPr>
          <w:p>
            <w:pPr>
              <w:bidi/>
              <w:spacing w:after="0"/>
            </w:pPr>
            <w:r>
              <w:rPr>
                <w:b w:val="false"/>
                <w:sz w:val="18"/>
                <w:szCs w:val="18"/>
                <w:rtl/>
              </w:rPr>
              <w:t xml:space="preserve">المواطنون</w:t>
            </w:r>
          </w:p>
        </w:tc>
        <w:tc>
          <w:tcPr>
            <w:tcMar>
              <w:top w:type="dxa" w:w="80"/>
              <w:left w:type="dxa" w:w="100"/>
              <w:bottom w:type="dxa" w:w="80"/>
              <w:right w:type="dxa" w:w="100"/>
            </w:tcMar>
          </w:tcPr>
          <w:p>
            <w:pPr>
              <w:bidi/>
              <w:spacing w:after="0"/>
            </w:pPr>
            <w:r>
              <w:rPr>
                <w:b w:val="false"/>
                <w:sz w:val="18"/>
                <w:szCs w:val="18"/>
                <w:rtl/>
              </w:rPr>
              <w:t xml:space="preserve">تشريع المعاشات، لا مقياس 21/30 يوماً.</w:t>
            </w:r>
            <w:r>
              <w:rPr>
                <w:b w:val="false"/>
                <w:sz w:val="18"/>
                <w:szCs w:val="18"/>
                <w:rtl/>
              </w:rPr>
              <w:t xml:space="preserve"> [6]</w:t>
            </w:r>
          </w:p>
        </w:tc>
      </w:tr>
    </w:tbl>
    <w:p>
      <w:pPr>
        <w:bidi/>
      </w:pPr>
    </w:p>
    <w:p>
      <w:pPr>
        <w:pStyle w:val="Heading1"/>
        <w:pageBreakBefore/>
        <w:bidi/>
      </w:pPr>
      <w:r>
        <w:rPr>
          <w:rtl/>
        </w:rPr>
        <w:t xml:space="preserve">مركز دبي المالي وسوق أبوظبي العالمي والسعودية</w:t>
      </w:r>
    </w:p>
    <w:p>
      <w:pPr>
        <w:bidi/>
      </w:pPr>
      <w:r>
        <w:rPr>
          <w:rtl/>
        </w:rPr>
        <w:t xml:space="preserve">هذه الأنظمة ليست هذا النموذج.</w:t>
      </w:r>
      <w:r>
        <w:rPr>
          <w:rtl/>
        </w:rPr>
        <w:t xml:space="preserve"> [8][9][13]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المكان</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مركز دبي المالي العالمي</w:t>
            </w:r>
          </w:p>
        </w:tc>
        <w:tc>
          <w:tcPr>
            <w:tcMar>
              <w:top w:type="dxa" w:w="80"/>
              <w:left w:type="dxa" w:w="100"/>
              <w:bottom w:type="dxa" w:w="80"/>
              <w:right w:type="dxa" w:w="100"/>
            </w:tcMar>
          </w:tcPr>
          <w:p>
            <w:pPr>
              <w:bidi/>
              <w:spacing w:after="0"/>
            </w:pPr>
            <w:r>
              <w:rPr>
                <w:b w:val="false"/>
                <w:sz w:val="18"/>
                <w:szCs w:val="18"/>
                <w:rtl/>
              </w:rPr>
              <w:t xml:space="preserve">قانون توظيف خاص (قانون المركز رقم 2 لسنة 2019). قيد المراجعة بعد هذا الاسم.</w:t>
            </w:r>
            <w:r>
              <w:rPr>
                <w:b w:val="false"/>
                <w:sz w:val="18"/>
                <w:szCs w:val="18"/>
                <w:rtl/>
              </w:rPr>
              <w:t xml:space="preserve"> [9]</w:t>
            </w:r>
          </w:p>
        </w:tc>
      </w:tr>
      <w:tr>
        <w:trPr>
          <w:cantSplit/>
        </w:trPr>
        <w:tc>
          <w:tcPr>
            <w:tcMar>
              <w:top w:type="dxa" w:w="80"/>
              <w:left w:type="dxa" w:w="100"/>
              <w:bottom w:type="dxa" w:w="80"/>
              <w:right w:type="dxa" w:w="100"/>
            </w:tcMar>
          </w:tcPr>
          <w:p>
            <w:pPr>
              <w:bidi/>
              <w:spacing w:after="0"/>
            </w:pPr>
            <w:r>
              <w:rPr>
                <w:b w:val="false"/>
                <w:sz w:val="18"/>
                <w:szCs w:val="18"/>
                <w:rtl/>
              </w:rPr>
              <w:t xml:space="preserve">سوق أبوظبي العالمي</w:t>
            </w:r>
          </w:p>
        </w:tc>
        <w:tc>
          <w:tcPr>
            <w:tcMar>
              <w:top w:type="dxa" w:w="80"/>
              <w:left w:type="dxa" w:w="100"/>
              <w:bottom w:type="dxa" w:w="80"/>
              <w:right w:type="dxa" w:w="100"/>
            </w:tcMar>
          </w:tcPr>
          <w:p>
            <w:pPr>
              <w:bidi/>
              <w:spacing w:after="0"/>
            </w:pPr>
            <w:r>
              <w:rPr>
                <w:b w:val="false"/>
                <w:sz w:val="18"/>
                <w:szCs w:val="18"/>
                <w:rtl/>
              </w:rPr>
              <w:t xml:space="preserve">نظام توظيف خاص عبر مكتب شؤون التوظيف. قيد المراجعة بعد هذا الاسم.</w:t>
            </w:r>
            <w:r>
              <w:rPr>
                <w:b w:val="false"/>
                <w:sz w:val="18"/>
                <w:szCs w:val="18"/>
                <w:rtl/>
              </w:rPr>
              <w:t xml:space="preserve"> [8]</w:t>
            </w:r>
          </w:p>
        </w:tc>
      </w:tr>
      <w:tr>
        <w:trPr>
          <w:cantSplit/>
        </w:trPr>
        <w:tc>
          <w:tcPr>
            <w:tcMar>
              <w:top w:type="dxa" w:w="80"/>
              <w:left w:type="dxa" w:w="100"/>
              <w:bottom w:type="dxa" w:w="80"/>
              <w:right w:type="dxa" w:w="100"/>
            </w:tcMar>
          </w:tcPr>
          <w:p>
            <w:pPr>
              <w:bidi/>
              <w:spacing w:after="0"/>
            </w:pPr>
            <w:r>
              <w:rPr>
                <w:b w:val="false"/>
                <w:sz w:val="18"/>
                <w:szCs w:val="18"/>
                <w:rtl/>
              </w:rPr>
              <w:t xml:space="preserve">السعودية</w:t>
            </w:r>
          </w:p>
        </w:tc>
        <w:tc>
          <w:tcPr>
            <w:tcMar>
              <w:top w:type="dxa" w:w="80"/>
              <w:left w:type="dxa" w:w="100"/>
              <w:bottom w:type="dxa" w:w="80"/>
              <w:right w:type="dxa" w:w="100"/>
            </w:tcMar>
          </w:tcPr>
          <w:p>
            <w:pPr>
              <w:bidi/>
              <w:spacing w:after="0"/>
            </w:pPr>
            <w:r>
              <w:rPr>
                <w:b w:val="false"/>
                <w:sz w:val="18"/>
                <w:szCs w:val="18"/>
                <w:rtl/>
              </w:rPr>
              <w:t xml:space="preserve">يُوثَّق العقد في قوى. استخدموا </w:t>
            </w:r>
            <w:hyperlink w:history="1" r:id="rId3xv4ric87ml1ry2u1kyyc">
              <w:r>
                <w:rPr>
                  <w:rStyle w:val="Hyperlink"/>
                  <w:b w:val="false"/>
                  <w:sz w:val="18"/>
                  <w:szCs w:val="18"/>
                  <w:rtl/>
                </w:rPr>
                <w:t xml:space="preserve">عقد العمل السعودي</w:t>
              </w:r>
            </w:hyperlink>
            <w:r>
              <w:rPr>
                <w:b w:val="false"/>
                <w:sz w:val="18"/>
                <w:szCs w:val="18"/>
                <w:rtl/>
              </w:rPr>
              <w:t xml:space="preserve">.</w:t>
            </w:r>
            <w:r>
              <w:rPr>
                <w:b w:val="false"/>
                <w:sz w:val="18"/>
                <w:szCs w:val="18"/>
                <w:rtl/>
              </w:rPr>
              <w:t xml:space="preserve"> [13][12]</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mujcvgcp1-__a46gelgrs">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‪https://www.qanu.ai/ar/نماذج/نموذج-عقد-عمل-الإمارات‬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الموارد البشرية والتوطين، المرسوم بقانون اتحادي رقم (33) لسنة 2021 بشأن تنظيم علاقات العمل وتعديلاته (PDF) </w:t>
      </w:r>
      <w:hyperlink w:history="1" r:id="rId7mfwk-4bow5_czge0kij4">
        <w:r>
          <w:rPr>
            <w:rStyle w:val="Hyperlink"/>
            <w:sz w:val="16"/>
            <w:szCs w:val="16"/>
          </w:rPr>
          <w:t xml:space="preserve">https://www.mohre.gov.ae/assets/download/dcafb8f4/Federal%20Decree-Law%20No.%2033%20of%202021%20Regarding%20the%20Regulation%20of%20Employment%20Relationship%20and%20its%20amendments.pdf.aspx</w:t>
        </w:r>
      </w:hyperlink>
    </w:p>
    <w:p>
      <w:pPr>
        <w:bidi/>
        <w:ind w:start="360" w:hanging="360"/>
      </w:pPr>
      <w:r>
        <w:rPr>
          <w:sz w:val="18"/>
          <w:szCs w:val="18"/>
          <w:rtl/>
        </w:rPr>
        <w:t xml:space="preserve">[2] وزارة الموارد البشرية والتوطين، خدمة إصدار عقود العمل وتجديدها </w:t>
      </w:r>
      <w:hyperlink w:history="1" r:id="rId-mr-ehi-cc3h9kkgx1rgc">
        <w:r>
          <w:rPr>
            <w:rStyle w:val="Hyperlink"/>
            <w:sz w:val="16"/>
            <w:szCs w:val="16"/>
          </w:rPr>
          <w:t xml:space="preserve">https://www.mohre.gov.ae/en/services/issuancerenewal-of-employment-contracts-2022</w:t>
        </w:r>
      </w:hyperlink>
    </w:p>
    <w:p>
      <w:pPr>
        <w:bidi/>
        <w:ind w:start="360" w:hanging="360"/>
      </w:pPr>
      <w:r>
        <w:rPr>
          <w:sz w:val="18"/>
          <w:szCs w:val="18"/>
          <w:rtl/>
        </w:rPr>
        <w:t xml:space="preserve">[3] البوابة الرسمية لحكومة الإمارات (u.ae)، توظيف الوافدين في القطاع الخاص </w:t>
      </w:r>
      <w:hyperlink w:history="1" r:id="rIdkbqe1klbrg_n2i_k0ljen">
        <w:r>
          <w:rPr>
            <w:rStyle w:val="Hyperlink"/>
            <w:sz w:val="16"/>
            <w:szCs w:val="16"/>
          </w:rPr>
          <w:t xml:space="preserve">https://u.ae/en/information-and-services/jobs/Sector-of-employment/employment-in-the-private-sector/expatriates-employment-in-private-sector</w:t>
        </w:r>
      </w:hyperlink>
    </w:p>
    <w:p>
      <w:pPr>
        <w:bidi/>
        <w:ind w:start="360" w:hanging="360"/>
      </w:pPr>
      <w:r>
        <w:rPr>
          <w:sz w:val="18"/>
          <w:szCs w:val="18"/>
          <w:rtl/>
        </w:rPr>
        <w:t xml:space="preserve">[4] البوابة الرسمية لحكومة الإمارات (u.ae)، عقود العمل في القطاع الخاص: مدتها ونماذجها </w:t>
      </w:r>
      <w:hyperlink w:history="1" r:id="rIdgmk3xnvaheyhed6sdezfd">
        <w:r>
          <w:rPr>
            <w:rStyle w:val="Hyperlink"/>
            <w:sz w:val="16"/>
            <w:szCs w:val="16"/>
          </w:rPr>
          <w:t xml:space="preserve">https://u.ae/en/information-and-services/jobs/Sector-of-employment/employment-in-the-private-sector/employment-contracts-duration-and-models-in-the-private-sector</w:t>
        </w:r>
      </w:hyperlink>
    </w:p>
    <w:p>
      <w:pPr>
        <w:bidi/>
        <w:ind w:start="360" w:hanging="360"/>
      </w:pPr>
      <w:r>
        <w:rPr>
          <w:sz w:val="18"/>
          <w:szCs w:val="18"/>
          <w:rtl/>
        </w:rPr>
        <w:t xml:space="preserve">[5] البوابة الرسمية لحكومة الإمارات (u.ae)، إنهاء عقود العمل </w:t>
      </w:r>
      <w:hyperlink w:history="1" r:id="rIdau_ukdx18dq8uoi32ohlt">
        <w:r>
          <w:rPr>
            <w:rStyle w:val="Hyperlink"/>
            <w:sz w:val="16"/>
            <w:szCs w:val="16"/>
          </w:rPr>
          <w:t xml:space="preserve">https://u.ae/en/information-and-services/jobs/Sector-of-employment/employment-in-the-private-sector/terminating-employment-contracts</w:t>
        </w:r>
      </w:hyperlink>
    </w:p>
    <w:p>
      <w:pPr>
        <w:bidi/>
        <w:ind w:start="360" w:hanging="360"/>
      </w:pPr>
      <w:r>
        <w:rPr>
          <w:sz w:val="18"/>
          <w:szCs w:val="18"/>
          <w:rtl/>
        </w:rPr>
        <w:t xml:space="preserve">[6] البوابة الرسمية لحكومة الإمارات (u.ae)، مكافأة نهاية الخدمة للعاملين في القطاع الخاص </w:t>
      </w:r>
      <w:hyperlink w:history="1" r:id="rId3hsqgtpfeuokvrc89lrph">
        <w:r>
          <w:rPr>
            <w:rStyle w:val="Hyperlink"/>
            <w:sz w:val="16"/>
            <w:szCs w:val="16"/>
          </w:rPr>
          <w:t xml:space="preserve">https://u.ae/en/information-and-services/jobs/Sector-of-employment/employment-in-the-private-sector/end-of-service-benefits-for-employees-in-the-private-sector</w:t>
        </w:r>
      </w:hyperlink>
    </w:p>
    <w:p>
      <w:pPr>
        <w:bidi/>
        <w:ind w:start="360" w:hanging="360"/>
      </w:pPr>
      <w:r>
        <w:rPr>
          <w:sz w:val="18"/>
          <w:szCs w:val="18"/>
          <w:rtl/>
        </w:rPr>
        <w:t xml:space="preserve">[7] البوابة الرسمية لحكومة الإمارات (u.ae)، قوانين وأنظمة العمل في القطاع الخاص </w:t>
      </w:r>
      <w:hyperlink w:history="1" r:id="rIdorxsjka5txa5vnpwajqw_">
        <w:r>
          <w:rPr>
            <w:rStyle w:val="Hyperlink"/>
            <w:sz w:val="16"/>
            <w:szCs w:val="16"/>
          </w:rPr>
          <w:t xml:space="preserve">https://u.ae/en/information-and-services/jobs/Sector-of-employment/employment-in-the-private-sector/employment-laws-and-regulations-in-the-private-sector</w:t>
        </w:r>
      </w:hyperlink>
    </w:p>
    <w:p>
      <w:pPr>
        <w:bidi/>
        <w:ind w:start="360" w:hanging="360"/>
      </w:pPr>
      <w:r>
        <w:rPr>
          <w:sz w:val="18"/>
          <w:szCs w:val="18"/>
          <w:rtl/>
        </w:rPr>
        <w:t xml:space="preserve">[8] سوق أبوظبي العالمي، مكتب شؤون التوظيف </w:t>
      </w:r>
      <w:hyperlink w:history="1" r:id="rIdzph6fk1-a7axx2iumgqtb">
        <w:r>
          <w:rPr>
            <w:rStyle w:val="Hyperlink"/>
            <w:sz w:val="16"/>
            <w:szCs w:val="16"/>
          </w:rPr>
          <w:t xml:space="preserve">https://www.adgm.com/operating-in-adgm/employment-affairs-office</w:t>
        </w:r>
      </w:hyperlink>
    </w:p>
    <w:p>
      <w:pPr>
        <w:bidi/>
        <w:ind w:start="360" w:hanging="360"/>
      </w:pPr>
      <w:r>
        <w:rPr>
          <w:sz w:val="18"/>
          <w:szCs w:val="18"/>
          <w:rtl/>
        </w:rPr>
        <w:t xml:space="preserve">[9] مركز دبي المالي العالمي، قانون التوظيف (قانون المركز رقم 2 لسنة 2019) </w:t>
      </w:r>
      <w:hyperlink w:history="1" r:id="rId2bm_mdg_asacsino8r3ik">
        <w:r>
          <w:rPr>
            <w:rStyle w:val="Hyperlink"/>
            <w:sz w:val="16"/>
            <w:szCs w:val="16"/>
          </w:rPr>
          <w:t xml:space="preserve">https://www.difc.com/business/laws-and-regulations/legal-database/difc-laws/employment-law-difc-law-no-2-of-2019</w:t>
        </w:r>
      </w:hyperlink>
    </w:p>
    <w:p>
      <w:pPr>
        <w:bidi/>
        <w:ind w:start="360" w:hanging="360"/>
      </w:pPr>
      <w:r>
        <w:rPr>
          <w:sz w:val="18"/>
          <w:szCs w:val="18"/>
          <w:rtl/>
        </w:rPr>
        <w:t xml:space="preserve">[10] تشريعات الإمارات، المرسوم بقانون اتحادي رقم (33) لسنة 2021 بشأن تنظيم علاقات العمل (قُرئ النص الإنجليزي من التحميل الرسمي؛ المواد 3 و8 و9 و42 و43 و51) </w:t>
      </w:r>
      <w:hyperlink w:history="1" r:id="rId-b1mqszflmnvu5fugllo3">
        <w:r>
          <w:rPr>
            <w:rStyle w:val="Hyperlink"/>
            <w:sz w:val="16"/>
            <w:szCs w:val="16"/>
          </w:rPr>
          <w:t xml:space="preserve">https://uaelegislation.gov.ae/en/legislations/1541</w:t>
        </w:r>
      </w:hyperlink>
    </w:p>
    <w:p>
      <w:pPr>
        <w:bidi/>
        <w:ind w:start="360" w:hanging="360"/>
      </w:pPr>
      <w:r>
        <w:rPr>
          <w:sz w:val="18"/>
          <w:szCs w:val="18"/>
          <w:rtl/>
        </w:rPr>
        <w:t xml:space="preserve">[11] تشريعات الإمارات، المرسوم بقانون اتحادي رقم (33) لسنة 2021 بشأن تنظيم علاقات العمل، المادتان (51) و(54) </w:t>
      </w:r>
      <w:hyperlink w:history="1" r:id="rIdfzpktpxhuss4qzvazmg4z">
        <w:r>
          <w:rPr>
            <w:rStyle w:val="Hyperlink"/>
            <w:sz w:val="16"/>
            <w:szCs w:val="16"/>
          </w:rPr>
          <w:t xml:space="preserve">https://uaelegislation.gov.ae/ar/legislations/1541</w:t>
        </w:r>
      </w:hyperlink>
    </w:p>
    <w:p>
      <w:pPr>
        <w:bidi/>
        <w:ind w:start="360" w:hanging="360"/>
      </w:pPr>
      <w:r>
        <w:rPr>
          <w:sz w:val="18"/>
          <w:szCs w:val="18"/>
          <w:rtl/>
        </w:rPr>
        <w:t xml:space="preserve">[12] وزارة الموارد البشرية والتنمية الاجتماعية، نظام العمل الصادر بالمرسوم الملكي رقم (م/51) وتاريخ 23/8/1426هـ، النص المحدَّث بتعديلاته حتى المرسوم الملكي رقم (م/44) وتاريخ 8/2/1446هـ (PDF) </w:t>
      </w:r>
      <w:hyperlink w:history="1" r:id="rId2sysl7fhcrfketcrt5-di">
        <w:r>
          <w:rPr>
            <w:rStyle w:val="Hyperlink"/>
            <w:sz w:val="16"/>
            <w:szCs w:val="16"/>
          </w:rPr>
          <w:t xml:space="preserve">https://www.hrsd.gov.sa/sites/default/files/2025-11/labor-law.pdf</w:t>
        </w:r>
      </w:hyperlink>
    </w:p>
    <w:p>
      <w:pPr>
        <w:bidi/>
        <w:ind w:start="360" w:hanging="360"/>
      </w:pPr>
      <w:r>
        <w:rPr>
          <w:sz w:val="18"/>
          <w:szCs w:val="18"/>
          <w:rtl/>
        </w:rPr>
        <w:t xml:space="preserve">[13] منصة قوى، خدمة إدارة العقود لأصحاب الأعمال </w:t>
      </w:r>
      <w:hyperlink w:history="1" r:id="rId9jnyempjfjo-1degebbek">
        <w:r>
          <w:rPr>
            <w:rStyle w:val="Hyperlink"/>
            <w:sz w:val="16"/>
            <w:szCs w:val="16"/>
          </w:rPr>
          <w:t xml:space="preserve">https://qiwa.sa/ar/service-overview/business-owners/manage-current-employees/contract-management</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اكتبوا اسم صاحب العمل كما في </w:t>
      </w:r>
      <w:hyperlink w:history="1" r:id="rIdigfih6hjwtg2kwsbblz7w">
        <w:r>
          <w:rPr>
            <w:rStyle w:val="Hyperlink"/>
            <w:rtl/>
          </w:rPr>
          <w:t xml:space="preserve">السجل التجاري</w:t>
        </w:r>
      </w:hyperlink>
      <w:r>
        <w:rPr>
          <w:rtl/>
        </w:rPr>
        <w:t xml:space="preserve">. ولا يسري المرسوم على موظفي الحكومة الاتحادية والمحلية، والقوات المسلحة، والشرطة والأمن، وعمال الخدمة المساعدة (المادة 3).</w:t>
      </w:r>
      <w:r>
        <w:rPr>
          <w:rtl/>
        </w:rPr>
        <w:t xml:space="preserve"> [1][7]</w:t>
      </w:r>
    </w:p>
  </w:comment>
  <w:comment w:id="1" w:initials="Q" w:author="Qanu" w:date="2026-10-29T00:00:00.000Z">
    <w:p>
      <w:pPr>
        <w:bidi/>
      </w:pPr>
      <w:r>
        <w:rPr>
          <w:b/>
          <w:bCs/>
          <w:rtl/>
        </w:rPr>
        <w:t xml:space="preserve">ملاحظة صياغة</w:t>
      </w:r>
    </w:p>
    <w:p>
      <w:pPr>
        <w:bidi/>
      </w:pPr>
      <w:r>
        <w:rPr>
          <w:rtl/>
        </w:rPr>
        <w:t xml:space="preserve">افصلوا الأجر الأساسي عن البدلات. وتُحسب المكافأة في المادة 51 على الأجر الأساسي.</w:t>
      </w:r>
      <w:r>
        <w:rPr>
          <w:rtl/>
        </w:rPr>
        <w:t xml:space="preserve"> [1][6]</w:t>
      </w:r>
    </w:p>
  </w:comment>
  <w:comment w:id="2" w:initials="Q" w:author="Qanu" w:date="2026-10-29T00:00:00.000Z">
    <w:p>
      <w:pPr>
        <w:bidi/>
      </w:pPr>
      <w:r>
        <w:rPr>
          <w:b/>
          <w:bCs/>
          <w:rtl/>
        </w:rPr>
        <w:t xml:space="preserve">ملاحظة صياغة</w:t>
      </w:r>
    </w:p>
    <w:p>
      <w:pPr>
        <w:bidi/>
      </w:pPr>
      <w:r>
        <w:rPr>
          <w:rtl/>
        </w:rPr>
        <w:t xml:space="preserve">وفي فترة التجربة تُطبَّق المادة 9 لا المادة 43. انظروا </w:t>
      </w:r>
      <w:hyperlink w:history="1" r:id="rIdk3ighkc0upm11qgfzhbvq">
        <w:r>
          <w:rPr>
            <w:rStyle w:val="Hyperlink"/>
            <w:rtl/>
          </w:rPr>
          <w:t xml:space="preserve">مدة الإشعار</w:t>
        </w:r>
      </w:hyperlink>
      <w:r>
        <w:rPr>
          <w:rtl/>
        </w:rPr>
        <w:t xml:space="preserve"> و</w:t>
      </w:r>
      <w:hyperlink w:history="1" r:id="rIdljwwelgim0kj3trzxeml8">
        <w:r>
          <w:rPr>
            <w:rStyle w:val="Hyperlink"/>
            <w:rtl/>
          </w:rPr>
          <w:t xml:space="preserve">دليل مدة الإشعار</w:t>
        </w:r>
      </w:hyperlink>
      <w:r>
        <w:rPr>
          <w:rtl/>
        </w:rPr>
        <w:t xml:space="preserve">.</w:t>
      </w:r>
    </w:p>
  </w:comment>
  <w:comment w:id="3" w:initials="Q" w:author="Qanu" w:date="2026-10-29T00:00:00.000Z">
    <w:p>
      <w:pPr>
        <w:bidi/>
      </w:pPr>
      <w:r>
        <w:rPr>
          <w:b/>
          <w:bCs/>
          <w:rtl/>
        </w:rPr>
        <w:t xml:space="preserve">ملاحظة صياغة</w:t>
      </w:r>
    </w:p>
    <w:p>
      <w:pPr>
        <w:bidi/>
      </w:pPr>
      <w:r>
        <w:rPr>
          <w:rtl/>
        </w:rPr>
        <w:t xml:space="preserve">لا تثبتوا معادلة أخرى. انظروا </w:t>
      </w:r>
      <w:hyperlink w:history="1" r:id="rIdhu2sdwj6knq2vr_mvbqqz">
        <w:r>
          <w:rPr>
            <w:rStyle w:val="Hyperlink"/>
            <w:rtl/>
          </w:rPr>
          <w:t xml:space="preserve">مكافأة نهاية الخدمة</w:t>
        </w:r>
      </w:hyperlink>
      <w:r>
        <w:rPr>
          <w:rtl/>
        </w:rPr>
        <w:t xml:space="preserve"> و</w:t>
      </w:r>
      <w:hyperlink w:history="1" r:id="rIdfwucattwuvtv5kvvcde6u">
        <w:r>
          <w:rPr>
            <w:rStyle w:val="Hyperlink"/>
            <w:rtl/>
          </w:rPr>
          <w:t xml:space="preserve">دليل المكافأة</w:t>
        </w:r>
      </w:hyperlink>
      <w:r>
        <w:rPr>
          <w:rtl/>
        </w:rPr>
        <w:t xml:space="preserve">. وبعد انتهاء العلاقة تُكتب المخالصة في </w:t>
      </w:r>
      <w:hyperlink w:history="1" r:id="rId-f0xrswuwbhojk3h-yumg">
        <w:r>
          <w:rPr>
            <w:rStyle w:val="Hyperlink"/>
            <w:rtl/>
          </w:rPr>
          <w:t xml:space="preserve">نموذج المخالصة النهائية</w:t>
        </w:r>
      </w:hyperlink>
      <w:r>
        <w:rPr>
          <w:rtl/>
        </w:rPr>
        <w:t xml:space="preserve">.</w:t>
      </w:r>
    </w:p>
  </w:comment>
  <w:comment w:id="4" w:initials="Q" w:author="Qanu" w:date="2026-10-29T00:00:00.000Z">
    <w:p>
      <w:pPr>
        <w:bidi/>
      </w:pPr>
      <w:r>
        <w:rPr>
          <w:b/>
          <w:bCs/>
          <w:rtl/>
        </w:rPr>
        <w:t xml:space="preserve">ملاحظة صياغة</w:t>
      </w:r>
    </w:p>
    <w:p>
      <w:pPr>
        <w:bidi/>
      </w:pPr>
      <w:r>
        <w:rPr>
          <w:rtl/>
        </w:rPr>
        <w:t xml:space="preserve">هذه نقطة بداية. راجعوا النص مع محامٍ مرخّص في الدولة المعنية قبل الاستخدام. وتوظيف السعودية في </w:t>
      </w:r>
      <w:hyperlink w:history="1" r:id="rIdixrk87p-gwpxh6ngskpkc">
        <w:r>
          <w:rPr>
            <w:rStyle w:val="Hyperlink"/>
            <w:rtl/>
          </w:rPr>
          <w:t xml:space="preserve">عقد العمل السعودي</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BB83128E-EE92-6826-EA42-BB267ADC9694}"/>
    <w:embedBold r:id="rId2" w:fontKey="{F1FA884B-00B6-7E2D-9445-453C5F7DC9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‪https://www.qanu.ai/ar/نماذج/نموذج-عقد-عمل-الإمارات‬</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‪https://www.qanu.ai/ar/نماذج/نموذج-عقد-عمل-الإمارات‬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igfih6hjwtg2kwsbblz7w" Type="http://schemas.openxmlformats.org/officeDocument/2006/relationships/hyperlink" Target="https://www.qanu.ai/ar/%D9%85%D8%B3%D8%B1%D8%AF-%D9%82%D8%A7%D9%86%D9%88%D9%86%D9%8A/%D8%B3%D8%AC%D9%84-%D8%AA%D8%AC%D8%A7%D8%B1%D9%8A" TargetMode="External"/><Relationship Id="rIdk3ighkc0upm11qgfzhbvq" Type="http://schemas.openxmlformats.org/officeDocument/2006/relationships/hyperlink" Target="https://www.qanu.ai/ar/%D9%85%D8%B3%D8%B1%D8%AF-%D9%82%D8%A7%D9%86%D9%88%D9%86%D9%8A/%D9%85%D8%AF%D8%A9-%D8%A7%D9%84%D8%A5%D8%B4%D8%B9%D8%A7%D8%B1" TargetMode="External"/><Relationship Id="rIdljwwelgim0kj3trzxeml8" Type="http://schemas.openxmlformats.org/officeDocument/2006/relationships/hyperlink" Target="https://www.qanu.ai/ar/%D8%A3%D8%AF%D9%84%D8%A9/%D9%85%D8%AF%D8%A9-%D8%A7%D9%84%D8%A5%D8%B4%D8%B9%D8%A7%D8%B1-%D9%81%D9%8A-%D8%B9%D9%82%D9%88%D8%AF-%D8%A7%D9%84%D8%B9%D9%85%D9%84" TargetMode="External"/><Relationship Id="rIdhu2sdwj6knq2vr_mvbqqz" Type="http://schemas.openxmlformats.org/officeDocument/2006/relationships/hyperlink" Target="https://www.qanu.ai/ar/%D9%85%D8%B3%D8%B1%D8%AF-%D9%82%D8%A7%D9%86%D9%88%D9%86%D9%8A/%D9%85%D9%83%D8%A7%D9%81%D8%A3%D8%A9-%D9%86%D9%87%D8%A7%D9%8A%D8%A9-%D8%A7%D9%84%D8%AE%D8%AF%D9%85%D8%A9" TargetMode="External"/><Relationship Id="rIdfwucattwuvtv5kvvcde6u" Type="http://schemas.openxmlformats.org/officeDocument/2006/relationships/hyperlink" Target="https://www.qanu.ai/ar/%D8%A3%D8%AF%D9%84%D8%A9/%D9%85%D9%83%D8%A7%D9%81%D8%A3%D8%A9-%D9%86%D9%87%D8%A7%D9%8A%D8%A9-%D8%A7%D9%84%D8%AE%D8%AF%D9%85%D8%A9-%D8%A7%D9%84%D8%AE%D9%84%D9%8A%D8%AC" TargetMode="External"/><Relationship Id="rId-f0xrswuwbhojk3h-yumg" Type="http://schemas.openxmlformats.org/officeDocument/2006/relationships/hyperlink" Target="https://www.qanu.ai/ar/%D9%86%D9%85%D8%A7%D8%B0%D8%AC/%D9%86%D9%85%D9%88%D8%B0%D8%AC-%D9%85%D8%AE%D8%A7%D9%84%D8%B5%D8%A9-%D9%86%D9%87%D8%A7%D8%A6%D9%8A%D8%A9" TargetMode="External"/><Relationship Id="rIdixrk87p-gwpxh6ngskpkc" Type="http://schemas.openxmlformats.org/officeDocument/2006/relationships/hyperlink" Target="https://www.qanu.ai/ar/%D9%86%D9%85%D8%A7%D8%B0%D8%AC/%D9%86%D9%85%D9%88%D8%B0%D8%AC-%D8%B9%D9%82%D8%AF-%D8%B9%D9%85%D9%84-%D8%A7%D9%84%D8%B3%D8%B9%D9%88%D8%AF%D9%8A%D8%A9"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huxe4pb5d5v8cjxh-p-9g" Type="http://schemas.openxmlformats.org/officeDocument/2006/relationships/hyperlink" Target="https://www.mohre.gov.ae/en/services/issuancerenewal-of-employment-contracts-2022" TargetMode="External"/><Relationship Id="rId8ql-v7utm37wyi5a_kg_u" Type="http://schemas.openxmlformats.org/officeDocument/2006/relationships/hyperlink" Target="https://u.ae/en/information-and-services/jobs/Sector-of-employment/employment-in-the-private-sector/employment-contracts-duration-and-models-in-the-private-sector" TargetMode="External"/><Relationship Id="rIdeiubaf3utkgarqbclay0a"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oojxrmgd0z_l-cn3lbvxf" Type="http://schemas.openxmlformats.org/officeDocument/2006/relationships/hyperlink" Target="https://www.qanu.ai/ar/%D9%86%D9%85%D8%A7%D8%B0%D8%AC/%D9%86%D9%85%D9%88%D8%B0%D8%AC-%D8%B9%D9%82%D8%AF-%D8%B9%D9%85%D9%84-%D8%A7%D9%84%D8%B3%D8%B9%D9%88%D8%AF%D9%8A%D8%A9" TargetMode="External"/><Relationship Id="rId3xv4ric87ml1ry2u1kyyc" Type="http://schemas.openxmlformats.org/officeDocument/2006/relationships/hyperlink" Target="https://www.qanu.ai/ar/%D9%86%D9%85%D8%A7%D8%B0%D8%AC/%D9%86%D9%85%D9%88%D8%B0%D8%AC-%D8%B9%D9%82%D8%AF-%D8%B9%D9%85%D9%84-%D8%A7%D9%84%D8%B3%D8%B9%D9%88%D8%AF%D9%8A%D8%A9" TargetMode="External"/><Relationship Id="rIdmujcvgcp1-__a46gelgrs" Type="http://schemas.openxmlformats.org/officeDocument/2006/relationships/hyperlink" Target="https://creativecommons.org/licenses/by/4.0/deed.ar" TargetMode="External"/><Relationship Id="rId7mfwk-4bow5_czge0kij4"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mr-ehi-cc3h9kkgx1rgc" Type="http://schemas.openxmlformats.org/officeDocument/2006/relationships/hyperlink" Target="https://www.mohre.gov.ae/en/services/issuancerenewal-of-employment-contracts-2022" TargetMode="External"/><Relationship Id="rIdkbqe1klbrg_n2i_k0ljen" Type="http://schemas.openxmlformats.org/officeDocument/2006/relationships/hyperlink" Target="https://u.ae/en/information-and-services/jobs/Sector-of-employment/employment-in-the-private-sector/expatriates-employment-in-private-sector" TargetMode="External"/><Relationship Id="rIdgmk3xnvaheyhed6sdezfd" Type="http://schemas.openxmlformats.org/officeDocument/2006/relationships/hyperlink" Target="https://u.ae/en/information-and-services/jobs/Sector-of-employment/employment-in-the-private-sector/employment-contracts-duration-and-models-in-the-private-sector" TargetMode="External"/><Relationship Id="rIdau_ukdx18dq8uoi32ohlt" Type="http://schemas.openxmlformats.org/officeDocument/2006/relationships/hyperlink" Target="https://u.ae/en/information-and-services/jobs/Sector-of-employment/employment-in-the-private-sector/terminating-employment-contracts" TargetMode="External"/><Relationship Id="rId3hsqgtpfeuokvrc89lrph" Type="http://schemas.openxmlformats.org/officeDocument/2006/relationships/hyperlink" Target="https://u.ae/en/information-and-services/jobs/Sector-of-employment/employment-in-the-private-sector/end-of-service-benefits-for-employees-in-the-private-sector" TargetMode="External"/><Relationship Id="rIdorxsjka5txa5vnpwajqw_" Type="http://schemas.openxmlformats.org/officeDocument/2006/relationships/hyperlink" Target="https://u.ae/en/information-and-services/jobs/Sector-of-employment/employment-in-the-private-sector/employment-laws-and-regulations-in-the-private-sector" TargetMode="External"/><Relationship Id="rIdzph6fk1-a7axx2iumgqtb" Type="http://schemas.openxmlformats.org/officeDocument/2006/relationships/hyperlink" Target="https://www.adgm.com/operating-in-adgm/employment-affairs-office" TargetMode="External"/><Relationship Id="rId2bm_mdg_asacsino8r3ik" Type="http://schemas.openxmlformats.org/officeDocument/2006/relationships/hyperlink" Target="https://www.difc.com/business/laws-and-regulations/legal-database/difc-laws/employment-law-difc-law-no-2-of-2019" TargetMode="External"/><Relationship Id="rId-b1mqszflmnvu5fugllo3" Type="http://schemas.openxmlformats.org/officeDocument/2006/relationships/hyperlink" Target="https://uaelegislation.gov.ae/en/legislations/1541" TargetMode="External"/><Relationship Id="rIdfzpktpxhuss4qzvazmg4z" Type="http://schemas.openxmlformats.org/officeDocument/2006/relationships/hyperlink" Target="https://uaelegislation.gov.ae/ar/legislations/1541" TargetMode="External"/><Relationship Id="rId2sysl7fhcrfketcrt5-di" Type="http://schemas.openxmlformats.org/officeDocument/2006/relationships/hyperlink" Target="https://www.hrsd.gov.sa/sites/default/files/2025-11/labor-law.pdf" TargetMode="External"/><Relationship Id="rId9jnyempjfjo-1degebbek" Type="http://schemas.openxmlformats.org/officeDocument/2006/relationships/hyperlink" Target="https://qiwa.sa/ar/service-overview/business-owners/manage-current-employees/contract-management"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عمل إماراتي (Word و PDF)</dc:title>
  <dc:creator>Qanu</dc:creator>
  <cp:keywords>عقد عمل إماراتي, وزارة الموارد البشرية والتوطين, المرسوم بقانون الاتحادي رقم 33 لسنة 2021</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2026-10-29T11:28:02.463Z</dcterms:created>
  <dcterms:modified xsi:type="dcterms:W3CDTF">2026-10-29T11:28:02.463Z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https://www.qanu.ai/ar/نماذج/نموذج-عقد-عمل-الإمارات</vt:lpwstr>
  </property>
</Properties>
</file>