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Register the official contract with MOHRE.</w:t>
      </w:r>
      <w:r>
        <w:rPr>
          <w:rtl w:val="false"/>
        </w:rPr>
        <w:t xml:space="preserve"> A private-sector employment contract on the UAE mainland is governed by </w:t>
      </w:r>
      <w:r>
        <w:rPr>
          <w:b/>
          <w:bCs/>
          <w:rtl w:val="false"/>
        </w:rPr>
        <w:t xml:space="preserve">Federal Decree-Law No. 33 of 2021</w:t>
      </w:r>
      <w:r>
        <w:rPr>
          <w:rtl w:val="false"/>
        </w:rPr>
        <w:t xml:space="preserve">. It is written in two copies on the forms approved by </w:t>
      </w:r>
      <w:r>
        <w:rPr>
          <w:b/>
          <w:bCs/>
          <w:rtl w:val="false"/>
        </w:rPr>
        <w:t xml:space="preserve">MOHRE</w:t>
      </w:r>
      <w:r>
        <w:rPr>
          <w:rtl w:val="false"/>
        </w:rPr>
        <w:t xml:space="preserve">. The contract is fixed-term and may be renewed (Article 8).</w:t>
      </w:r>
      <w:r>
        <w:rPr>
          <w:rtl w:val="false"/>
        </w:rPr>
        <w:t xml:space="preserve"> [1][4][2]</w:t>
      </w:r>
      <w:r>
        <w:rPr>
          <w:rtl w:val="false"/>
        </w:rPr>
        <w:t xml:space="preserve"> The signed job offer is registered with MOHRE and becomes the binding contract.</w:t>
      </w:r>
      <w:r>
        <w:rPr>
          <w:rtl w:val="false"/>
        </w:rPr>
        <w:t xml:space="preserve"> [3]</w:t>
      </w:r>
      <w:r>
        <w:rPr>
          <w:rtl w:val="false"/>
        </w:rPr>
        <w:t xml:space="preserve"> </w:t>
      </w:r>
      <w:r>
        <w:rPr>
          <w:b/>
          <w:bCs/>
          <w:rtl w:val="false"/>
        </w:rPr>
        <w:t xml:space="preserve">DIFC</w:t>
      </w:r>
      <w:r>
        <w:rPr>
          <w:rtl w:val="false"/>
        </w:rPr>
        <w:t xml:space="preserve"> and </w:t>
      </w:r>
      <w:r>
        <w:rPr>
          <w:b/>
          <w:bCs/>
          <w:rtl w:val="false"/>
        </w:rPr>
        <w:t xml:space="preserve">ADGM</w:t>
      </w:r>
      <w:r>
        <w:rPr>
          <w:rtl w:val="false"/>
        </w:rPr>
        <w:t xml:space="preserve"> have their own employment laws. This template is mainland MOHRE-aware. Those free-zone laws are under review beyond naming that they are separate.</w:t>
      </w:r>
      <w:r>
        <w:rPr>
          <w:rtl w:val="false"/>
        </w:rPr>
        <w:t xml:space="preserve"> [8][9]</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MOHRE employment contracts: </w:t>
      </w:r>
      <w:hyperlink w:history="1" r:id="rId-mbaek-c12gorehlr3mjv">
        <w:r>
          <w:rPr>
            <w:rStyle w:val="Hyperlink"/>
            <w:sz w:val="17"/>
            <w:szCs w:val="17"/>
          </w:rPr>
          <w:t xml:space="preserve">https://www.mohre.gov.ae/en/services/issuancerenewal-of-employment-contracts-2022</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employment contracts: duration and models: </w:t>
      </w:r>
      <w:hyperlink w:history="1" r:id="rId0tbs0pfj_vwzyjqdfhb3g">
        <w:r>
          <w:rPr>
            <w:rStyle w:val="Hyperlink"/>
            <w:sz w:val="17"/>
            <w:szCs w:val="17"/>
          </w:rPr>
          <w:t xml:space="preserve">https://u.ae/en/information-and-services/jobs/Sector-of-employment/employment-in-the-private-sector/employment-contracts-duration-and-models-in-the-private-sector</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Federal Decree-Law No. 33 of 2021: </w:t>
      </w:r>
      <w:hyperlink w:history="1" r:id="rId-f9dgk4vcgjfbe6tcupgc">
        <w:r>
          <w:rPr>
            <w:rStyle w:val="Hyperlink"/>
            <w:sz w:val="17"/>
            <w:szCs w:val="17"/>
          </w:rPr>
          <w:t xml:space="preserve">https://www.mohre.gov.ae/assets/download/dcafb8f4/Federal Decree-Law No. 33 of 2021 Regarding the Regulation of Employment Relationship and its amendments.pdf.aspx</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DIFC:</w:t>
      </w:r>
      <w:r>
        <w:rPr>
          <w:sz w:val="19"/>
          <w:szCs w:val="19"/>
          <w:rtl w:val="false"/>
        </w:rPr>
        <w:t xml:space="preserve"> own employment law (DIFC Law No. 2 of 2019). Under review beyond that name.</w:t>
      </w:r>
      <w:r>
        <w:rPr>
          <w:sz w:val="19"/>
          <w:szCs w:val="19"/>
          <w:rtl w:val="false"/>
        </w:rPr>
        <w:t xml:space="preserve"> [9]</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ADGM:</w:t>
      </w:r>
      <w:r>
        <w:rPr>
          <w:sz w:val="19"/>
          <w:szCs w:val="19"/>
          <w:rtl w:val="false"/>
        </w:rPr>
        <w:t xml:space="preserve"> own employment regime through the Employment Affairs Office. Under review beyond that name.</w:t>
      </w:r>
      <w:r>
        <w:rPr>
          <w:sz w:val="19"/>
          <w:szCs w:val="19"/>
          <w:rtl w:val="false"/>
        </w:rPr>
        <w:t xml:space="preserve"> [8]</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Saudi Arabia:</w:t>
      </w:r>
      <w:r>
        <w:rPr>
          <w:sz w:val="19"/>
          <w:szCs w:val="19"/>
          <w:rtl w:val="false"/>
        </w:rPr>
        <w:t xml:space="preserve"> document the contract on Qiwa. Use the </w:t>
      </w:r>
      <w:hyperlink w:history="1" r:id="rIdc4spquobk-2qfykd_pzo0">
        <w:r>
          <w:rPr>
            <w:rStyle w:val="Hyperlink"/>
            <w:sz w:val="19"/>
            <w:szCs w:val="19"/>
            <w:rtl w:val="false"/>
          </w:rPr>
          <w:t xml:space="preserve">Saudi employment contract</w:t>
        </w:r>
      </w:hyperlink>
      <w:r>
        <w:rPr>
          <w:sz w:val="19"/>
          <w:szCs w:val="19"/>
          <w:rtl w:val="false"/>
        </w:rPr>
        <w:t xml:space="preserve">.</w:t>
      </w:r>
      <w:r>
        <w:rPr>
          <w:sz w:val="19"/>
          <w:szCs w:val="19"/>
          <w:rtl w:val="false"/>
        </w:rPr>
        <w:t xml:space="preserve"> [13][12]</w:t>
      </w:r>
    </w:p>
    <w:p>
      <w:pPr>
        <w:bidi w:val="false"/>
        <w:spacing w:after="240"/>
      </w:pPr>
    </w:p>
    <w:p>
      <w:pPr>
        <w:pStyle w:val="Title"/>
        <w:bidi w:val="false"/>
      </w:pPr>
      <w:r>
        <w:rPr>
          <w:rtl w:val="false"/>
        </w:rPr>
        <w:t xml:space="preserve">UAE employment contract</w:t>
      </w:r>
    </w:p>
    <w:p>
      <w:pPr>
        <w:bidi w:val="false"/>
        <w:spacing w:after="240"/>
      </w:pPr>
      <w:r>
        <w:rPr>
          <w:color w:val="444444"/>
          <w:rtl w:val="false"/>
        </w:rPr>
        <w:t xml:space="preserve">A mainland private-sector checklist for the UAE: parties, job, term, wage, notice and gratuity. The contract documented with MOHRE is the binding one. It is not a DIFC or ADGM contract and not a Qiwa contract.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This contract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at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 between: (1) </w:t>
      </w:r>
      <w:r>
        <w:rPr>
          <w:highlight w:val="yellow"/>
          <w:rtl w:val="false"/>
        </w:rPr>
        <w:t xml:space="preserve">[</w:t>
      </w:r>
      <w:r>
        <w:rPr>
          <w:highlight w:val="yellow"/>
          <w:rtl w:val="false"/>
        </w:rPr>
        <w:t xml:space="preserve">Employer name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legal form</w:t>
      </w:r>
      <w:r>
        <w:rPr>
          <w:highlight w:val="yellow"/>
          <w:rtl w:val="false"/>
        </w:rPr>
        <w:t xml:space="preserve">]</w:t>
      </w:r>
      <w:r>
        <w:rPr>
          <w:rtl w:val="false"/>
        </w:rPr>
        <w:t xml:space="preserve">, commercial registration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represented by </w:t>
      </w:r>
      <w:r>
        <w:rPr>
          <w:highlight w:val="yellow"/>
          <w:rtl w:val="false"/>
        </w:rPr>
        <w:t xml:space="preserve">[</w:t>
      </w:r>
      <w:r>
        <w:rPr>
          <w:highlight w:val="yellow"/>
          <w:rtl w:val="false"/>
        </w:rPr>
        <w:t xml:space="preserve">name, capacity</w:t>
      </w:r>
      <w:r>
        <w:rPr>
          <w:highlight w:val="yellow"/>
          <w:rtl w:val="false"/>
        </w:rPr>
        <w:t xml:space="preserve">]</w:t>
      </w:r>
      <w:r>
        <w:rPr>
          <w:rtl w:val="false"/>
        </w:rPr>
        <w:t xml:space="preserve"> (the “Employer”); and (2) </w:t>
      </w:r>
      <w:r>
        <w:rPr>
          <w:highlight w:val="yellow"/>
          <w:rtl w:val="false"/>
        </w:rPr>
        <w:t xml:space="preserve">[</w:t>
      </w:r>
      <w:r>
        <w:rPr>
          <w:highlight w:val="yellow"/>
          <w:rtl w:val="false"/>
        </w:rPr>
        <w:t xml:space="preserve">Employee name</w:t>
      </w:r>
      <w:r>
        <w:rPr>
          <w:highlight w:val="yellow"/>
          <w:rtl w:val="false"/>
        </w:rPr>
        <w:t xml:space="preserve">]</w:t>
      </w:r>
      <w:r>
        <w:rPr>
          <w:rtl w:val="false"/>
        </w:rPr>
        <w:t xml:space="preserve">, nationality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ID/residence/passport no.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“Employee”).</w:t>
      </w:r>
    </w:p>
    <w:p>
      <w:pPr>
        <w:pStyle w:val="Heading1"/>
        <w:bidi w:val="false"/>
      </w:pPr>
      <w:r>
        <w:rPr>
          <w:rtl w:val="false"/>
        </w:rPr>
        <w:t xml:space="preserve">2. Position and place of work</w:t>
      </w:r>
    </w:p>
    <w:p>
      <w:pPr>
        <w:bidi w:val="false"/>
      </w:pPr>
      <w:r>
        <w:rPr>
          <w:rtl w:val="false"/>
        </w:rPr>
        <w:t xml:space="preserve">The Employee is employed as </w:t>
      </w:r>
      <w:r>
        <w:rPr>
          <w:highlight w:val="yellow"/>
          <w:rtl w:val="false"/>
        </w:rPr>
        <w:t xml:space="preserve">[</w:t>
      </w:r>
      <w:r>
        <w:rPr>
          <w:highlight w:val="yellow"/>
          <w:rtl w:val="false"/>
        </w:rPr>
        <w:t xml:space="preserve">job title</w:t>
      </w:r>
      <w:r>
        <w:rPr>
          <w:highlight w:val="yellow"/>
          <w:rtl w:val="false"/>
        </w:rPr>
        <w:t xml:space="preserve">]</w:t>
      </w:r>
      <w:r>
        <w:rPr>
          <w:rtl w:val="false"/>
        </w:rPr>
        <w:t xml:space="preserve"> in </w:t>
      </w:r>
      <w:r>
        <w:rPr>
          <w:highlight w:val="yellow"/>
          <w:rtl w:val="false"/>
        </w:rPr>
        <w:t xml:space="preserve">[</w:t>
      </w:r>
      <w:r>
        <w:rPr>
          <w:highlight w:val="yellow"/>
          <w:rtl w:val="false"/>
        </w:rPr>
        <w:t xml:space="preserve">department</w:t>
      </w:r>
      <w:r>
        <w:rPr>
          <w:highlight w:val="yellow"/>
          <w:rtl w:val="false"/>
        </w:rPr>
        <w:t xml:space="preserve">]</w:t>
      </w:r>
      <w:r>
        <w:rPr>
          <w:rtl w:val="false"/>
        </w:rPr>
        <w:t xml:space="preserve">, at </w:t>
      </w:r>
      <w:r>
        <w:rPr>
          <w:highlight w:val="yellow"/>
          <w:rtl w:val="false"/>
        </w:rPr>
        <w:t xml:space="preserve">[</w:t>
      </w:r>
      <w:r>
        <w:rPr>
          <w:highlight w:val="yellow"/>
          <w:rtl w:val="false"/>
        </w:rPr>
        <w:t xml:space="preserve">work location in the UAE mainland</w:t>
      </w:r>
      <w:r>
        <w:rPr>
          <w:highlight w:val="yellow"/>
          <w:rtl w:val="false"/>
        </w:rPr>
        <w:t xml:space="preserve">]</w:t>
      </w:r>
      <w:r>
        <w:rPr>
          <w:rtl w:val="false"/>
        </w:rPr>
        <w:t xml:space="preserve">. The Employee reports to </w:t>
      </w:r>
      <w:r>
        <w:rPr>
          <w:highlight w:val="yellow"/>
          <w:rtl w:val="false"/>
        </w:rPr>
        <w:t xml:space="preserve">[</w:t>
      </w:r>
      <w:r>
        <w:rPr>
          <w:highlight w:val="yellow"/>
          <w:rtl w:val="false"/>
        </w:rPr>
        <w:t xml:space="preserve">title</w:t>
      </w:r>
      <w:r>
        <w:rPr>
          <w:highlight w:val="yellow"/>
          <w:rtl w:val="false"/>
        </w:rPr>
        <w:t xml:space="preserve">]</w:t>
      </w:r>
      <w:r>
        <w:rPr>
          <w:rtl w:val="false"/>
        </w:rPr>
        <w:t xml:space="preserve">.</w:t>
      </w:r>
    </w:p>
    <w:p>
      <w:pPr>
        <w:pStyle w:val="Heading1"/>
        <w:bidi w:val="false"/>
      </w:pPr>
      <w:r>
        <w:rPr>
          <w:rtl w:val="false"/>
        </w:rPr>
        <w:t xml:space="preserve">3. Start date, term and probation</w:t>
      </w:r>
    </w:p>
    <w:p>
      <w:pPr>
        <w:bidi w:val="false"/>
      </w:pPr>
      <w:r>
        <w:rPr>
          <w:rtl w:val="false"/>
        </w:rPr>
        <w:t xml:space="preserve">The Employee starts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This contract is fixed-term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months/years from the start date, and may be renewed (Article 8).</w:t>
      </w:r>
    </w:p>
    <w:p>
      <w:pPr>
        <w:bidi w:val="false"/>
      </w:pPr>
      <w:r>
        <w:rPr>
          <w:b/>
          <w:bCs/>
          <w:rtl w:val="false"/>
        </w:rPr>
        <w:t xml:space="preserve">Option:</w:t>
      </w:r>
      <w:r>
        <w:rPr>
          <w:rtl w:val="false"/>
        </w:rPr>
        <w:t xml:space="preserve"> the Employee is on probation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from the start date, not more than six months. During probation, Article 9 applies: the Employer gives at least fourteen days’ written notice; a worker moving to another employer in the State gives at least one month; a foreign worker leaving the State gives at least fourteen days.</w:t>
      </w:r>
    </w:p>
    <w:p>
      <w:pPr>
        <w:pStyle w:val="Heading1"/>
        <w:bidi w:val="false"/>
      </w:pPr>
      <w:commentRangeStart w:id="1"/>
      <w:r>
        <w:rPr>
          <w:rtl w:val="false"/>
        </w:rPr>
        <w:t xml:space="preserve">4. Wage and benefits</w:t>
      </w:r>
      <w:commentRangeEnd w:id="1"/>
      <w:r>
        <w:rPr>
          <w:rtl w:val="false"/>
        </w:rPr>
        <w:commentReference w:id="1"/>
      </w:r>
    </w:p>
    <w:p>
      <w:pPr>
        <w:bidi w:val="false"/>
      </w:pPr>
      <w:r>
        <w:rPr>
          <w:rtl w:val="false"/>
        </w:rPr>
        <w:t xml:space="preserve">Basic monthly wage: </w:t>
      </w:r>
      <w:r>
        <w:rPr>
          <w:highlight w:val="yellow"/>
          <w:rtl w:val="false"/>
        </w:rPr>
        <w:t xml:space="preserve">[</w:t>
      </w:r>
      <w:r>
        <w:rPr>
          <w:highlight w:val="yellow"/>
          <w:rtl w:val="false"/>
        </w:rPr>
        <w:t xml:space="preserve">amount, currency</w:t>
      </w:r>
      <w:r>
        <w:rPr>
          <w:highlight w:val="yellow"/>
          <w:rtl w:val="false"/>
        </w:rPr>
        <w:t xml:space="preserve">]</w:t>
      </w:r>
      <w:r>
        <w:rPr>
          <w:rtl w:val="false"/>
        </w:rPr>
        <w:t xml:space="preserve">. Allowances: housing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transport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other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wage is paid monthly by bank transfer to the Employee's account.</w:t>
      </w:r>
    </w:p>
    <w:p>
      <w:pPr>
        <w:pStyle w:val="Heading1"/>
        <w:bidi w:val="false"/>
      </w:pPr>
      <w:r>
        <w:rPr>
          <w:rtl w:val="false"/>
        </w:rPr>
        <w:t xml:space="preserve">5. Duties of the parties</w:t>
      </w:r>
    </w:p>
    <w:p>
      <w:pPr>
        <w:bidi w:val="false"/>
      </w:pPr>
      <w:r>
        <w:rPr>
          <w:rtl w:val="false"/>
        </w:rPr>
        <w:t xml:space="preserve">The Employee performs the work diligently, follows lawful instructions, and protects the Employer's property. The Employer provides the agreed work, pays the wage on time, and provides a safe workplace.</w:t>
      </w:r>
    </w:p>
    <w:p>
      <w:pPr>
        <w:pStyle w:val="Heading1"/>
        <w:bidi w:val="false"/>
      </w:pPr>
      <w:commentRangeStart w:id="2"/>
      <w:r>
        <w:rPr>
          <w:rtl w:val="false"/>
        </w:rPr>
        <w:t xml:space="preserve">6. Termination and notice</w:t>
      </w:r>
      <w:commentRangeEnd w:id="2"/>
      <w:r>
        <w:rPr>
          <w:rtl w:val="false"/>
        </w:rPr>
        <w:commentReference w:id="2"/>
      </w:r>
    </w:p>
    <w:p>
      <w:pPr>
        <w:bidi w:val="false"/>
      </w:pPr>
      <w:r>
        <w:rPr>
          <w:rtl w:val="false"/>
        </w:rPr>
        <w:t xml:space="preserve">Either party may end this contract for a legitimate reason by written notice. The notice period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not less than thirty days and not more than ninety days, the same for both parties unless a difference serves the Employee’s interests (Article 43).</w:t>
      </w:r>
    </w:p>
    <w:p>
      <w:pPr>
        <w:pStyle w:val="Heading1"/>
        <w:bidi w:val="false"/>
      </w:pPr>
      <w:commentRangeStart w:id="3"/>
      <w:r>
        <w:rPr>
          <w:rtl w:val="false"/>
        </w:rPr>
        <w:t xml:space="preserve">7. End-of-service gratuity</w:t>
      </w:r>
      <w:commentRangeEnd w:id="3"/>
      <w:r>
        <w:rPr>
          <w:rtl w:val="false"/>
        </w:rPr>
        <w:commentReference w:id="3"/>
      </w:r>
    </w:p>
    <w:p>
      <w:pPr>
        <w:bidi w:val="false"/>
      </w:pPr>
      <w:r>
        <w:rPr>
          <w:rtl w:val="false"/>
        </w:rPr>
        <w:t xml:space="preserve">On termination, a full-time foreign worker who has completed one year of continuous service is entitled to the gratuity under Article 51: 21 days’ basic wage for each of the first five years and 30 days for each later year, on the last basic wage, excluding allowances. Nothing is due under one year. The total cannot exceed two years’ wage. Payment of wages and the gratuity is due within 14 days.</w:t>
      </w:r>
      <w:r>
        <w:rPr>
          <w:rtl w:val="false"/>
        </w:rPr>
        <w:t xml:space="preserve"> UAE nationals take their benefit under the pensions legislation, not the 21/30-day scale.</w:t>
      </w:r>
    </w:p>
    <w:p>
      <w:pPr>
        <w:pStyle w:val="Heading1"/>
        <w:bidi w:val="false"/>
      </w:pPr>
      <w:commentRangeStart w:id="4"/>
      <w:r>
        <w:rPr>
          <w:rtl w:val="false"/>
        </w:rPr>
        <w:t xml:space="preserve">8. Official contract, language and signatures</w:t>
      </w:r>
      <w:commentRangeEnd w:id="4"/>
      <w:r>
        <w:rPr>
          <w:rtl w:val="false"/>
        </w:rPr>
        <w:commentReference w:id="4"/>
      </w:r>
    </w:p>
    <w:p>
      <w:pPr>
        <w:bidi w:val="false"/>
      </w:pPr>
      <w:r>
        <w:rPr>
          <w:rtl w:val="false"/>
        </w:rPr>
        <w:t xml:space="preserve">The parties shall document this contract with MOHRE. If this document and the registered contract conflict, the registered contract prevails.</w:t>
      </w:r>
      <w:r>
        <w:rPr>
          <w:rtl w:val="false"/>
        </w:rPr>
        <w:t xml:space="preserve"> Arabic and English, with Arabic prevailing unless the official form says otherwise. Signed in two copies.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Employer: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title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Employee:</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UAE mainland notes</w:t>
      </w:r>
    </w:p>
    <w:p>
      <w:pPr>
        <w:bidi w:val="false"/>
      </w:pPr>
      <w:r>
        <w:rPr>
          <w:rtl w:val="false"/>
        </w:rPr>
        <w:t xml:space="preserve">Federal Decree-Law No. 33 of 2021 regarding the regulation of employment relations, as amended.</w:t>
      </w:r>
      <w:r>
        <w:rPr>
          <w:rtl w:val="false"/>
        </w:rPr>
        <w:t xml:space="preserve"> [1][10]</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text states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Scope</w:t>
            </w:r>
          </w:p>
        </w:tc>
        <w:tc>
          <w:tcPr>
            <w:tcMar>
              <w:top w:type="dxa" w:w="80"/>
              <w:left w:type="dxa" w:w="100"/>
              <w:bottom w:type="dxa" w:w="80"/>
              <w:right w:type="dxa" w:w="100"/>
            </w:tcMar>
          </w:tcPr>
          <w:p>
            <w:pPr>
              <w:bidi w:val="false"/>
              <w:spacing w:after="0"/>
            </w:pPr>
            <w:r>
              <w:rPr>
                <w:b w:val="false"/>
                <w:sz w:val="18"/>
                <w:szCs w:val="18"/>
                <w:rtl w:val="false"/>
              </w:rPr>
              <w:t xml:space="preserve">The private sector. Federal and local government employees, the armed forces, police and security, and domestic workers are excluded (Article 3).</w:t>
            </w:r>
            <w:r>
              <w:rPr>
                <w:b w:val="false"/>
                <w:sz w:val="18"/>
                <w:szCs w:val="18"/>
                <w:rtl w:val="false"/>
              </w:rPr>
              <w:t xml:space="preserve"> [1][7]</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Form</w:t>
            </w:r>
          </w:p>
        </w:tc>
        <w:tc>
          <w:tcPr>
            <w:tcMar>
              <w:top w:type="dxa" w:w="80"/>
              <w:left w:type="dxa" w:w="100"/>
              <w:bottom w:type="dxa" w:w="80"/>
              <w:right w:type="dxa" w:w="100"/>
            </w:tcMar>
          </w:tcPr>
          <w:p>
            <w:pPr>
              <w:bidi w:val="false"/>
              <w:spacing w:after="0"/>
            </w:pPr>
            <w:r>
              <w:rPr>
                <w:b w:val="false"/>
                <w:sz w:val="18"/>
                <w:szCs w:val="18"/>
                <w:rtl w:val="false"/>
              </w:rPr>
              <w:t xml:space="preserve">Written in two copies on the forms approved by MOHRE (Article 8). The registered contract is binding.</w:t>
            </w:r>
            <w:r>
              <w:rPr>
                <w:b w:val="false"/>
                <w:sz w:val="18"/>
                <w:szCs w:val="18"/>
                <w:rtl w:val="false"/>
              </w:rPr>
              <w:t xml:space="preserve"> [1][2][3]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Term</w:t>
            </w:r>
          </w:p>
        </w:tc>
        <w:tc>
          <w:tcPr>
            <w:tcMar>
              <w:top w:type="dxa" w:w="80"/>
              <w:left w:type="dxa" w:w="100"/>
              <w:bottom w:type="dxa" w:w="80"/>
              <w:right w:type="dxa" w:w="100"/>
            </w:tcMar>
          </w:tcPr>
          <w:p>
            <w:pPr>
              <w:bidi w:val="false"/>
              <w:spacing w:after="0"/>
            </w:pPr>
            <w:r>
              <w:rPr>
                <w:b w:val="false"/>
                <w:sz w:val="18"/>
                <w:szCs w:val="18"/>
                <w:rtl w:val="false"/>
              </w:rPr>
              <w:t xml:space="preserve">Fixed-term, renewable (Article 8).</w:t>
            </w:r>
            <w:r>
              <w:rPr>
                <w:b w:val="false"/>
                <w:sz w:val="18"/>
                <w:szCs w:val="18"/>
                <w:rtl w:val="false"/>
              </w:rPr>
              <w:t xml:space="preserve"> [1][4]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Probation</w:t>
            </w:r>
          </w:p>
        </w:tc>
        <w:tc>
          <w:tcPr>
            <w:tcMar>
              <w:top w:type="dxa" w:w="80"/>
              <w:left w:type="dxa" w:w="100"/>
              <w:bottom w:type="dxa" w:w="80"/>
              <w:right w:type="dxa" w:w="100"/>
            </w:tcMar>
          </w:tcPr>
          <w:p>
            <w:pPr>
              <w:bidi w:val="false"/>
              <w:spacing w:after="0"/>
            </w:pPr>
            <w:r>
              <w:rPr>
                <w:b w:val="false"/>
                <w:sz w:val="18"/>
                <w:szCs w:val="18"/>
                <w:rtl w:val="false"/>
              </w:rPr>
              <w:t xml:space="preserve">No more than six months. Termination during probation: employer at least 14 days; worker moving to another UAE employer at least one month; foreign worker leaving the State at least 14 days (Article 9).</w:t>
            </w:r>
            <w:r>
              <w:rPr>
                <w:b w:val="false"/>
                <w:sz w:val="18"/>
                <w:szCs w:val="18"/>
                <w:rtl w:val="false"/>
              </w:rPr>
              <w:t xml:space="preserve"> [1][4]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Notice</w:t>
            </w:r>
          </w:p>
        </w:tc>
        <w:tc>
          <w:tcPr>
            <w:tcMar>
              <w:top w:type="dxa" w:w="80"/>
              <w:left w:type="dxa" w:w="100"/>
              <w:bottom w:type="dxa" w:w="80"/>
              <w:right w:type="dxa" w:w="100"/>
            </w:tcMar>
          </w:tcPr>
          <w:p>
            <w:pPr>
              <w:bidi w:val="false"/>
              <w:spacing w:after="0"/>
            </w:pPr>
            <w:r>
              <w:rPr>
                <w:b w:val="false"/>
                <w:sz w:val="18"/>
                <w:szCs w:val="18"/>
                <w:rtl w:val="false"/>
              </w:rPr>
              <w:t xml:space="preserve">At least 30 days and no more than 90 days, the same for both parties unless a difference serves the worker (Article 43).</w:t>
            </w:r>
            <w:r>
              <w:rPr>
                <w:b w:val="false"/>
                <w:sz w:val="18"/>
                <w:szCs w:val="18"/>
                <w:rtl w:val="false"/>
              </w:rPr>
              <w:t xml:space="preserve"> [1][5][10]</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Gratuity (full-time foreign worker)</w:t>
            </w:r>
          </w:p>
        </w:tc>
        <w:tc>
          <w:tcPr>
            <w:tcMar>
              <w:top w:type="dxa" w:w="80"/>
              <w:left w:type="dxa" w:w="100"/>
              <w:bottom w:type="dxa" w:w="80"/>
              <w:right w:type="dxa" w:w="100"/>
            </w:tcMar>
          </w:tcPr>
          <w:p>
            <w:pPr>
              <w:bidi w:val="false"/>
              <w:spacing w:after="0"/>
            </w:pPr>
            <w:r>
              <w:rPr>
                <w:b w:val="false"/>
                <w:sz w:val="18"/>
                <w:szCs w:val="18"/>
                <w:rtl w:val="false"/>
              </w:rPr>
              <w:t xml:space="preserve">After one year: 21 days’ basic wage for each of the first five years, then 30 days; allowances out; nothing under one year; cap two years’ wage; pay within 14 days (Article 51).</w:t>
            </w:r>
            <w:r>
              <w:rPr>
                <w:b w:val="false"/>
                <w:sz w:val="18"/>
                <w:szCs w:val="18"/>
                <w:rtl w:val="false"/>
              </w:rPr>
              <w:t xml:space="preserve"> [1][6][11]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UAE nationals</w:t>
            </w:r>
          </w:p>
        </w:tc>
        <w:tc>
          <w:tcPr>
            <w:tcMar>
              <w:top w:type="dxa" w:w="80"/>
              <w:left w:type="dxa" w:w="100"/>
              <w:bottom w:type="dxa" w:w="80"/>
              <w:right w:type="dxa" w:w="100"/>
            </w:tcMar>
          </w:tcPr>
          <w:p>
            <w:pPr>
              <w:bidi w:val="false"/>
              <w:spacing w:after="0"/>
            </w:pPr>
            <w:r>
              <w:rPr>
                <w:b w:val="false"/>
                <w:sz w:val="18"/>
                <w:szCs w:val="18"/>
                <w:rtl w:val="false"/>
              </w:rPr>
              <w:t xml:space="preserve">Pensions legislation, not the 21/30-day scale.</w:t>
            </w:r>
            <w:r>
              <w:rPr>
                <w:b w:val="false"/>
                <w:sz w:val="18"/>
                <w:szCs w:val="18"/>
                <w:rtl w:val="false"/>
              </w:rPr>
              <w:t xml:space="preserve"> [6]</w:t>
            </w:r>
          </w:p>
        </w:tc>
      </w:tr>
    </w:tbl>
    <w:p>
      <w:pPr>
        <w:bidi w:val="false"/>
      </w:pPr>
    </w:p>
    <w:p>
      <w:pPr>
        <w:pStyle w:val="Heading1"/>
        <w:pageBreakBefore/>
        <w:bidi w:val="false"/>
      </w:pPr>
      <w:r>
        <w:rPr>
          <w:rtl w:val="false"/>
        </w:rPr>
        <w:t xml:space="preserve">DIFC, ADGM and Saudi Arabia</w:t>
      </w:r>
    </w:p>
    <w:p>
      <w:pPr>
        <w:bidi w:val="false"/>
      </w:pPr>
      <w:r>
        <w:rPr>
          <w:rtl w:val="false"/>
        </w:rPr>
        <w:t xml:space="preserve">These regimes are not this template.</w:t>
      </w:r>
      <w:r>
        <w:rPr>
          <w:rtl w:val="false"/>
        </w:rPr>
        <w:t xml:space="preserve"> [8][9][13]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Place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DIFC</w:t>
            </w:r>
          </w:p>
        </w:tc>
        <w:tc>
          <w:tcPr>
            <w:tcMar>
              <w:top w:type="dxa" w:w="80"/>
              <w:left w:type="dxa" w:w="100"/>
              <w:bottom w:type="dxa" w:w="80"/>
              <w:right w:type="dxa" w:w="100"/>
            </w:tcMar>
          </w:tcPr>
          <w:p>
            <w:pPr>
              <w:bidi w:val="false"/>
              <w:spacing w:after="0"/>
            </w:pPr>
            <w:r>
              <w:rPr>
                <w:b w:val="false"/>
                <w:sz w:val="18"/>
                <w:szCs w:val="18"/>
                <w:rtl w:val="false"/>
              </w:rPr>
              <w:t xml:space="preserve">Own employment law (DIFC Law No. 2 of 2019). Under review beyond that name.</w:t>
            </w:r>
            <w:r>
              <w:rPr>
                <w:b w:val="false"/>
                <w:sz w:val="18"/>
                <w:szCs w:val="18"/>
                <w:rtl w:val="false"/>
              </w:rPr>
              <w:t xml:space="preserve"> [9]</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ADGM</w:t>
            </w:r>
          </w:p>
        </w:tc>
        <w:tc>
          <w:tcPr>
            <w:tcMar>
              <w:top w:type="dxa" w:w="80"/>
              <w:left w:type="dxa" w:w="100"/>
              <w:bottom w:type="dxa" w:w="80"/>
              <w:right w:type="dxa" w:w="100"/>
            </w:tcMar>
          </w:tcPr>
          <w:p>
            <w:pPr>
              <w:bidi w:val="false"/>
              <w:spacing w:after="0"/>
            </w:pPr>
            <w:r>
              <w:rPr>
                <w:b w:val="false"/>
                <w:sz w:val="18"/>
                <w:szCs w:val="18"/>
                <w:rtl w:val="false"/>
              </w:rPr>
              <w:t xml:space="preserve">Own employment regime through the Employment Affairs Office. Under review beyond that name.</w:t>
            </w:r>
            <w:r>
              <w:rPr>
                <w:b w:val="false"/>
                <w:sz w:val="18"/>
                <w:szCs w:val="18"/>
                <w:rtl w:val="false"/>
              </w:rPr>
              <w:t xml:space="preserve"> [8]</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Saudi Arabia</w:t>
            </w:r>
          </w:p>
        </w:tc>
        <w:tc>
          <w:tcPr>
            <w:tcMar>
              <w:top w:type="dxa" w:w="80"/>
              <w:left w:type="dxa" w:w="100"/>
              <w:bottom w:type="dxa" w:w="80"/>
              <w:right w:type="dxa" w:w="100"/>
            </w:tcMar>
          </w:tcPr>
          <w:p>
            <w:pPr>
              <w:bidi w:val="false"/>
              <w:spacing w:after="0"/>
            </w:pPr>
            <w:r>
              <w:rPr>
                <w:b w:val="false"/>
                <w:sz w:val="18"/>
                <w:szCs w:val="18"/>
                <w:rtl w:val="false"/>
              </w:rPr>
              <w:t xml:space="preserve">Document the contract on Qiwa. Use the </w:t>
            </w:r>
            <w:hyperlink w:history="1" r:id="rIdsn0e-f-jb4hgrjx5wil-e">
              <w:r>
                <w:rPr>
                  <w:rStyle w:val="Hyperlink"/>
                  <w:b w:val="false"/>
                  <w:sz w:val="18"/>
                  <w:szCs w:val="18"/>
                  <w:rtl w:val="false"/>
                </w:rPr>
                <w:t xml:space="preserve">Saudi employment contract</w:t>
              </w:r>
            </w:hyperlink>
            <w:r>
              <w:rPr>
                <w:b w:val="false"/>
                <w:sz w:val="18"/>
                <w:szCs w:val="18"/>
                <w:rtl w:val="false"/>
              </w:rPr>
              <w:t xml:space="preserve">.</w:t>
            </w:r>
            <w:r>
              <w:rPr>
                <w:b w:val="false"/>
                <w:sz w:val="18"/>
                <w:szCs w:val="18"/>
                <w:rtl w:val="false"/>
              </w:rPr>
              <w:t xml:space="preserve"> [13][12]</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n4h_8r3kvbttlndjuwyrr">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https://www.qanu.ai/en/templates/uae-employment-contract · Last reviewed: 29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MOHRE, Federal Decree-Law No. 33 of 2021 regarding the regulation of employment relations, with its amendments (PDF) </w:t>
      </w:r>
      <w:hyperlink w:history="1" r:id="rIdr8qu4akqvz43l-3ljsj-v">
        <w:r>
          <w:rPr>
            <w:rStyle w:val="Hyperlink"/>
            <w:sz w:val="16"/>
            <w:szCs w:val="16"/>
          </w:rPr>
          <w:t xml:space="preserve">https://www.mohre.gov.ae/assets/download/dcafb8f4/Federal%20Decree-Law%20No.%2033%20of%202021%20Regarding%20the%20Regulation%20of%20Employment%20Relationship%20and%20its%20amendments.pdf.aspx</w:t>
        </w:r>
      </w:hyperlink>
    </w:p>
    <w:p>
      <w:pPr>
        <w:bidi w:val="false"/>
        <w:ind w:start="360" w:hanging="360"/>
      </w:pPr>
      <w:r>
        <w:rPr>
          <w:sz w:val="18"/>
          <w:szCs w:val="18"/>
          <w:rtl w:val="false"/>
        </w:rPr>
        <w:t xml:space="preserve">[2] Ministry of Human Resources and Emiratisation (MOHRE), Issuance and renewal of employment contracts service </w:t>
      </w:r>
      <w:hyperlink w:history="1" r:id="rIdzwy0uu-k5rfczhotjepnv">
        <w:r>
          <w:rPr>
            <w:rStyle w:val="Hyperlink"/>
            <w:sz w:val="16"/>
            <w:szCs w:val="16"/>
          </w:rPr>
          <w:t xml:space="preserve">https://www.mohre.gov.ae/en/services/issuancerenewal-of-employment-contracts-2022</w:t>
        </w:r>
      </w:hyperlink>
    </w:p>
    <w:p>
      <w:pPr>
        <w:bidi w:val="false"/>
        <w:ind w:start="360" w:hanging="360"/>
      </w:pPr>
      <w:r>
        <w:rPr>
          <w:sz w:val="18"/>
          <w:szCs w:val="18"/>
          <w:rtl w:val="false"/>
        </w:rPr>
        <w:t xml:space="preserve">[3] UAE Government portal (u.ae), Employment of expatriates in the private sector </w:t>
      </w:r>
      <w:hyperlink w:history="1" r:id="rIdxsoktziial0p-7g1-_lft">
        <w:r>
          <w:rPr>
            <w:rStyle w:val="Hyperlink"/>
            <w:sz w:val="16"/>
            <w:szCs w:val="16"/>
          </w:rPr>
          <w:t xml:space="preserve">https://u.ae/en/information-and-services/jobs/Sector-of-employment/employment-in-the-private-sector/expatriates-employment-in-private-sector</w:t>
        </w:r>
      </w:hyperlink>
    </w:p>
    <w:p>
      <w:pPr>
        <w:bidi w:val="false"/>
        <w:ind w:start="360" w:hanging="360"/>
      </w:pPr>
      <w:r>
        <w:rPr>
          <w:sz w:val="18"/>
          <w:szCs w:val="18"/>
          <w:rtl w:val="false"/>
        </w:rPr>
        <w:t xml:space="preserve">[4] UAE Government portal (u.ae), Employment contracts: duration and models in the private sector </w:t>
      </w:r>
      <w:hyperlink w:history="1" r:id="rId4zigyramgyztw0x-_x_fi">
        <w:r>
          <w:rPr>
            <w:rStyle w:val="Hyperlink"/>
            <w:sz w:val="16"/>
            <w:szCs w:val="16"/>
          </w:rPr>
          <w:t xml:space="preserve">https://u.ae/en/information-and-services/jobs/Sector-of-employment/employment-in-the-private-sector/employment-contracts-duration-and-models-in-the-private-sector</w:t>
        </w:r>
      </w:hyperlink>
    </w:p>
    <w:p>
      <w:pPr>
        <w:bidi w:val="false"/>
        <w:ind w:start="360" w:hanging="360"/>
      </w:pPr>
      <w:r>
        <w:rPr>
          <w:sz w:val="18"/>
          <w:szCs w:val="18"/>
          <w:rtl w:val="false"/>
        </w:rPr>
        <w:t xml:space="preserve">[5] UAE Government portal (u.ae), Terminating employment contracts </w:t>
      </w:r>
      <w:hyperlink w:history="1" r:id="rIdfzadjx5rmh2qzre7kliws">
        <w:r>
          <w:rPr>
            <w:rStyle w:val="Hyperlink"/>
            <w:sz w:val="16"/>
            <w:szCs w:val="16"/>
          </w:rPr>
          <w:t xml:space="preserve">https://u.ae/en/information-and-services/jobs/Sector-of-employment/employment-in-the-private-sector/terminating-employment-contracts</w:t>
        </w:r>
      </w:hyperlink>
    </w:p>
    <w:p>
      <w:pPr>
        <w:bidi w:val="false"/>
        <w:ind w:start="360" w:hanging="360"/>
      </w:pPr>
      <w:r>
        <w:rPr>
          <w:sz w:val="18"/>
          <w:szCs w:val="18"/>
          <w:rtl w:val="false"/>
        </w:rPr>
        <w:t xml:space="preserve">[6] UAE Government portal (u.ae), End-of-service benefits for employees in the private sector </w:t>
      </w:r>
      <w:hyperlink w:history="1" r:id="rIdg7qmzotrzablmae4hqhk3">
        <w:r>
          <w:rPr>
            <w:rStyle w:val="Hyperlink"/>
            <w:sz w:val="16"/>
            <w:szCs w:val="16"/>
          </w:rPr>
          <w:t xml:space="preserve">https://u.ae/en/information-and-services/jobs/Sector-of-employment/employment-in-the-private-sector/end-of-service-benefits-for-employees-in-the-private-sector</w:t>
        </w:r>
      </w:hyperlink>
    </w:p>
    <w:p>
      <w:pPr>
        <w:bidi w:val="false"/>
        <w:ind w:start="360" w:hanging="360"/>
      </w:pPr>
      <w:r>
        <w:rPr>
          <w:sz w:val="18"/>
          <w:szCs w:val="18"/>
          <w:rtl w:val="false"/>
        </w:rPr>
        <w:t xml:space="preserve">[7] UAE Government portal (u.ae), Employment laws and regulations in the private sector </w:t>
      </w:r>
      <w:hyperlink w:history="1" r:id="rIdisefqzckgt1g9hyttuqou">
        <w:r>
          <w:rPr>
            <w:rStyle w:val="Hyperlink"/>
            <w:sz w:val="16"/>
            <w:szCs w:val="16"/>
          </w:rPr>
          <w:t xml:space="preserve">https://u.ae/en/information-and-services/jobs/Sector-of-employment/employment-in-the-private-sector/employment-laws-and-regulations-in-the-private-sector</w:t>
        </w:r>
      </w:hyperlink>
    </w:p>
    <w:p>
      <w:pPr>
        <w:bidi w:val="false"/>
        <w:ind w:start="360" w:hanging="360"/>
      </w:pPr>
      <w:r>
        <w:rPr>
          <w:sz w:val="18"/>
          <w:szCs w:val="18"/>
          <w:rtl w:val="false"/>
        </w:rPr>
        <w:t xml:space="preserve">[8] Abu Dhabi Global Market (ADGM), Employment Affairs Office </w:t>
      </w:r>
      <w:hyperlink w:history="1" r:id="rId8idgcx-_rdy4y-qlkklce">
        <w:r>
          <w:rPr>
            <w:rStyle w:val="Hyperlink"/>
            <w:sz w:val="16"/>
            <w:szCs w:val="16"/>
          </w:rPr>
          <w:t xml:space="preserve">https://www.adgm.com/operating-in-adgm/employment-affairs-office</w:t>
        </w:r>
      </w:hyperlink>
    </w:p>
    <w:p>
      <w:pPr>
        <w:bidi w:val="false"/>
        <w:ind w:start="360" w:hanging="360"/>
      </w:pPr>
      <w:r>
        <w:rPr>
          <w:sz w:val="18"/>
          <w:szCs w:val="18"/>
          <w:rtl w:val="false"/>
        </w:rPr>
        <w:t xml:space="preserve">[9] Dubai International Financial Centre (DIFC), Employment Law, DIFC Law No. 2 of 2019 </w:t>
      </w:r>
      <w:hyperlink w:history="1" r:id="rIdhyn-eel1y1crxzcnu3bcx">
        <w:r>
          <w:rPr>
            <w:rStyle w:val="Hyperlink"/>
            <w:sz w:val="16"/>
            <w:szCs w:val="16"/>
          </w:rPr>
          <w:t xml:space="preserve">https://www.difc.com/business/laws-and-regulations/legal-database/difc-laws/employment-law-difc-law-no-2-of-2019</w:t>
        </w:r>
      </w:hyperlink>
    </w:p>
    <w:p>
      <w:pPr>
        <w:bidi w:val="false"/>
        <w:ind w:start="360" w:hanging="360"/>
      </w:pPr>
      <w:r>
        <w:rPr>
          <w:sz w:val="18"/>
          <w:szCs w:val="18"/>
          <w:rtl w:val="false"/>
        </w:rPr>
        <w:t xml:space="preserve">[10] UAE Legislation, Federal Decree-Law No. 33 of 2021 regulating labour relations (English text read from the official download; Articles 3, 8, 9, 42, 43 and 51) </w:t>
      </w:r>
      <w:hyperlink w:history="1" r:id="rIduuwvadxuzwbp4y2n7s5n8">
        <w:r>
          <w:rPr>
            <w:rStyle w:val="Hyperlink"/>
            <w:sz w:val="16"/>
            <w:szCs w:val="16"/>
          </w:rPr>
          <w:t xml:space="preserve">https://uaelegislation.gov.ae/en/legislations/1541</w:t>
        </w:r>
      </w:hyperlink>
    </w:p>
    <w:p>
      <w:pPr>
        <w:bidi w:val="false"/>
        <w:ind w:start="360" w:hanging="360"/>
      </w:pPr>
      <w:r>
        <w:rPr>
          <w:sz w:val="18"/>
          <w:szCs w:val="18"/>
          <w:rtl w:val="false"/>
        </w:rPr>
        <w:t xml:space="preserve">[11] UAE Legislation, Federal Decree-Law No. 33 of 2021 regulating labour relations, Articles 51 and 54 </w:t>
      </w:r>
      <w:hyperlink w:history="1" r:id="rIdfz3ocd7zxflinzl8wm1pu">
        <w:r>
          <w:rPr>
            <w:rStyle w:val="Hyperlink"/>
            <w:sz w:val="16"/>
            <w:szCs w:val="16"/>
          </w:rPr>
          <w:t xml:space="preserve">https://uaelegislation.gov.ae/ar/legislations/1541</w:t>
        </w:r>
      </w:hyperlink>
    </w:p>
    <w:p>
      <w:pPr>
        <w:bidi w:val="false"/>
        <w:ind w:start="360" w:hanging="360"/>
      </w:pPr>
      <w:r>
        <w:rPr>
          <w:sz w:val="18"/>
          <w:szCs w:val="18"/>
          <w:rtl w:val="false"/>
        </w:rPr>
        <w:t xml:space="preserve">[12] HRSD, Labor Law (Royal Decree No. M/51 of 23/8/1426H), consolidated text with amendments up to Royal Decree No. M/44 of 8/2/1446H (PDF) </w:t>
      </w:r>
      <w:hyperlink w:history="1" r:id="rIdl_xi8y0wmzn_baiahwkzo">
        <w:r>
          <w:rPr>
            <w:rStyle w:val="Hyperlink"/>
            <w:sz w:val="16"/>
            <w:szCs w:val="16"/>
          </w:rPr>
          <w:t xml:space="preserve">https://www.hrsd.gov.sa/sites/default/files/2025-11/labor-law.pdf</w:t>
        </w:r>
      </w:hyperlink>
    </w:p>
    <w:p>
      <w:pPr>
        <w:bidi w:val="false"/>
        <w:ind w:start="360" w:hanging="360"/>
      </w:pPr>
      <w:r>
        <w:rPr>
          <w:sz w:val="18"/>
          <w:szCs w:val="18"/>
          <w:rtl w:val="false"/>
        </w:rPr>
        <w:t xml:space="preserve">[13] Qiwa, Contract management service for business owners </w:t>
      </w:r>
      <w:hyperlink w:history="1" r:id="rId_rzrh23gehnghno7fdpp1">
        <w:r>
          <w:rPr>
            <w:rStyle w:val="Hyperlink"/>
            <w:sz w:val="16"/>
            <w:szCs w:val="16"/>
          </w:rPr>
          <w:t xml:space="preserve">https://qiwa.sa/ar/service-overview/business-owners/manage-current-employees/contract-management</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val="false"/>
      </w:pPr>
      <w:r>
        <w:rPr>
          <w:b/>
          <w:bCs/>
          <w:rtl w:val="false"/>
        </w:rPr>
        <w:t xml:space="preserve">Drafting note</w:t>
      </w:r>
    </w:p>
    <w:p>
      <w:pPr>
        <w:bidi w:val="false"/>
      </w:pPr>
      <w:r>
        <w:rPr>
          <w:rtl w:val="false"/>
        </w:rPr>
        <w:t xml:space="preserve">Use the exact legal name from the </w:t>
      </w:r>
      <w:hyperlink w:history="1" r:id="rIdckqb_gu8gtinzf2xubfbl">
        <w:r>
          <w:rPr>
            <w:rStyle w:val="Hyperlink"/>
            <w:rtl w:val="false"/>
          </w:rPr>
          <w:t xml:space="preserve">commercial registration</w:t>
        </w:r>
      </w:hyperlink>
      <w:r>
        <w:rPr>
          <w:rtl w:val="false"/>
        </w:rPr>
        <w:t xml:space="preserve">. The decree-law does not apply to federal or local government employees, the armed forces, the police and security, or domestic workers (Article 3).</w:t>
      </w:r>
      <w:r>
        <w:rPr>
          <w:rtl w:val="false"/>
        </w:rPr>
        <w:t xml:space="preserve"> [1][7]</w:t>
      </w:r>
    </w:p>
  </w:comment>
  <w:comment w:id="1" w:initials="Q" w:author="Qanu" w:date="2026-10-29T00:00:00.000Z">
    <w:p>
      <w:pPr>
        <w:bidi w:val="false"/>
      </w:pPr>
      <w:r>
        <w:rPr>
          <w:b/>
          <w:bCs/>
          <w:rtl w:val="false"/>
        </w:rPr>
        <w:t xml:space="preserve">Drafting note</w:t>
      </w:r>
    </w:p>
    <w:p>
      <w:pPr>
        <w:bidi w:val="false"/>
      </w:pPr>
      <w:r>
        <w:rPr>
          <w:rtl w:val="false"/>
        </w:rPr>
        <w:t xml:space="preserve">Split the basic wage from the allowances. The gratuity in Article 51 is calculated on the basic wage.</w:t>
      </w:r>
      <w:r>
        <w:rPr>
          <w:rtl w:val="false"/>
        </w:rPr>
        <w:t xml:space="preserve"> [1][6]</w:t>
      </w:r>
    </w:p>
  </w:comment>
  <w:comment w:id="2" w:initials="Q" w:author="Qanu" w:date="2026-10-29T00:00:00.000Z">
    <w:p>
      <w:pPr>
        <w:bidi w:val="false"/>
      </w:pPr>
      <w:r>
        <w:rPr>
          <w:b/>
          <w:bCs/>
          <w:rtl w:val="false"/>
        </w:rPr>
        <w:t xml:space="preserve">Drafting note</w:t>
      </w:r>
    </w:p>
    <w:p>
      <w:pPr>
        <w:bidi w:val="false"/>
      </w:pPr>
      <w:r>
        <w:rPr>
          <w:rtl w:val="false"/>
        </w:rPr>
        <w:t xml:space="preserve">During probation, Article 9 applies instead of Article 43. See </w:t>
      </w:r>
      <w:hyperlink w:history="1" r:id="rId-mzs-zybygtysawsm7ovp">
        <w:r>
          <w:rPr>
            <w:rStyle w:val="Hyperlink"/>
            <w:rtl w:val="false"/>
          </w:rPr>
          <w:t xml:space="preserve">notice period</w:t>
        </w:r>
      </w:hyperlink>
      <w:r>
        <w:rPr>
          <w:rtl w:val="false"/>
        </w:rPr>
        <w:t xml:space="preserve"> and the </w:t>
      </w:r>
      <w:hyperlink w:history="1" r:id="rIdvpdrifa_1ylgllbbaxtmr">
        <w:r>
          <w:rPr>
            <w:rStyle w:val="Hyperlink"/>
            <w:rtl w:val="false"/>
          </w:rPr>
          <w:t xml:space="preserve">notice-period guide</w:t>
        </w:r>
      </w:hyperlink>
      <w:r>
        <w:rPr>
          <w:rtl w:val="false"/>
        </w:rPr>
        <w:t xml:space="preserve">.</w:t>
      </w:r>
    </w:p>
  </w:comment>
  <w:comment w:id="3" w:initials="Q" w:author="Qanu" w:date="2026-10-29T00:00:00.000Z">
    <w:p>
      <w:pPr>
        <w:bidi w:val="false"/>
      </w:pPr>
      <w:r>
        <w:rPr>
          <w:b/>
          <w:bCs/>
          <w:rtl w:val="false"/>
        </w:rPr>
        <w:t xml:space="preserve">Drafting note</w:t>
      </w:r>
    </w:p>
    <w:p>
      <w:pPr>
        <w:bidi w:val="false"/>
      </w:pPr>
      <w:r>
        <w:rPr>
          <w:rtl w:val="false"/>
        </w:rPr>
        <w:t xml:space="preserve">Do not hard-code a different formula. See </w:t>
      </w:r>
      <w:hyperlink w:history="1" r:id="rIdkjm-c9ugz2ja2hqwrovrw">
        <w:r>
          <w:rPr>
            <w:rStyle w:val="Hyperlink"/>
            <w:rtl w:val="false"/>
          </w:rPr>
          <w:t xml:space="preserve">end-of-service gratuity</w:t>
        </w:r>
      </w:hyperlink>
      <w:r>
        <w:rPr>
          <w:rtl w:val="false"/>
        </w:rPr>
        <w:t xml:space="preserve"> and the </w:t>
      </w:r>
      <w:hyperlink w:history="1" r:id="rIdb_oziwoe8jbbbzlm9blvn">
        <w:r>
          <w:rPr>
            <w:rStyle w:val="Hyperlink"/>
            <w:rtl w:val="false"/>
          </w:rPr>
          <w:t xml:space="preserve">gratuity guide</w:t>
        </w:r>
      </w:hyperlink>
      <w:r>
        <w:rPr>
          <w:rtl w:val="false"/>
        </w:rPr>
        <w:t xml:space="preserve">. After the relationship ends, the release is the </w:t>
      </w:r>
      <w:hyperlink w:history="1" r:id="rIda-61fiuqmlaux5nnuhojd">
        <w:r>
          <w:rPr>
            <w:rStyle w:val="Hyperlink"/>
            <w:rtl w:val="false"/>
          </w:rPr>
          <w:t xml:space="preserve">final settlement and release</w:t>
        </w:r>
      </w:hyperlink>
      <w:r>
        <w:rPr>
          <w:rtl w:val="false"/>
        </w:rPr>
        <w:t xml:space="preserve">.</w:t>
      </w:r>
    </w:p>
  </w:comment>
  <w:comment w:id="4" w:initials="Q" w:author="Qanu" w:date="2026-10-29T00:00:00.000Z">
    <w:p>
      <w:pPr>
        <w:bidi w:val="false"/>
      </w:pPr>
      <w:r>
        <w:rPr>
          <w:b/>
          <w:bCs/>
          <w:rtl w:val="false"/>
        </w:rPr>
        <w:t xml:space="preserve">Drafting note</w:t>
      </w:r>
    </w:p>
    <w:p>
      <w:pPr>
        <w:bidi w:val="false"/>
      </w:pPr>
      <w:r>
        <w:rPr>
          <w:rtl w:val="false"/>
        </w:rPr>
        <w:t xml:space="preserve">This is a starting point. Have it reviewed by a lawyer licensed in the relevant jurisdiction before you use it. A Saudi hire uses the </w:t>
      </w:r>
      <w:hyperlink w:history="1" r:id="rIdapcjeoiocrhd4ndev2mqb">
        <w:r>
          <w:rPr>
            <w:rStyle w:val="Hyperlink"/>
            <w:rtl w:val="false"/>
          </w:rPr>
          <w:t xml:space="preserve">Saudi employment contract</w:t>
        </w:r>
      </w:hyperlink>
      <w:r>
        <w:rPr>
          <w:rtl w:val="false"/>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29 October 2026 – https://www.qanu.ai/en/templates/uae-employment-contract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29 October 2026 – https://www.qanu.ai/en/templates/uae-employment-contract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ckqb_gu8gtinzf2xubfbl" Type="http://schemas.openxmlformats.org/officeDocument/2006/relationships/hyperlink" Target="https://www.qanu.ai/en/glossary/commercial-registration" TargetMode="External"/><Relationship Id="rId-mzs-zybygtysawsm7ovp" Type="http://schemas.openxmlformats.org/officeDocument/2006/relationships/hyperlink" Target="https://www.qanu.ai/en/glossary/notice-period" TargetMode="External"/><Relationship Id="rIdvpdrifa_1ylgllbbaxtmr" Type="http://schemas.openxmlformats.org/officeDocument/2006/relationships/hyperlink" Target="https://www.qanu.ai/en/guides/notice-period-gcc-employment" TargetMode="External"/><Relationship Id="rIdkjm-c9ugz2ja2hqwrovrw" Type="http://schemas.openxmlformats.org/officeDocument/2006/relationships/hyperlink" Target="https://www.qanu.ai/en/glossary/end-of-service-gratuity" TargetMode="External"/><Relationship Id="rIdb_oziwoe8jbbbzlm9blvn" Type="http://schemas.openxmlformats.org/officeDocument/2006/relationships/hyperlink" Target="https://www.qanu.ai/en/guides/end-of-service-gratuity-gcc" TargetMode="External"/><Relationship Id="rIda-61fiuqmlaux5nnuhojd" Type="http://schemas.openxmlformats.org/officeDocument/2006/relationships/hyperlink" Target="https://www.qanu.ai/en/templates/final-settlement-release" TargetMode="External"/><Relationship Id="rIdapcjeoiocrhd4ndev2mqb" Type="http://schemas.openxmlformats.org/officeDocument/2006/relationships/hyperlink" Target="https://www.qanu.ai/en/templates/saudi-employment-contract"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mbaek-c12gorehlr3mjv" Type="http://schemas.openxmlformats.org/officeDocument/2006/relationships/hyperlink" Target="https://www.mohre.gov.ae/en/services/issuancerenewal-of-employment-contracts-2022" TargetMode="External"/><Relationship Id="rId0tbs0pfj_vwzyjqdfhb3g" Type="http://schemas.openxmlformats.org/officeDocument/2006/relationships/hyperlink" Target="https://u.ae/en/information-and-services/jobs/Sector-of-employment/employment-in-the-private-sector/employment-contracts-duration-and-models-in-the-private-sector" TargetMode="External"/><Relationship Id="rId-f9dgk4vcgjfbe6tcupgc" Type="http://schemas.openxmlformats.org/officeDocument/2006/relationships/hyperlink" Target="https://www.mohre.gov.ae/assets/download/dcafb8f4/Federal%20Decree-Law%20No.%2033%20of%202021%20Regarding%20the%20Regulation%20of%20Employment%20Relationship%20and%20its%20amendments.pdf.aspx" TargetMode="External"/><Relationship Id="rIdc4spquobk-2qfykd_pzo0" Type="http://schemas.openxmlformats.org/officeDocument/2006/relationships/hyperlink" Target="https://www.qanu.ai/en/templates/saudi-employment-contract" TargetMode="External"/><Relationship Id="rIdsn0e-f-jb4hgrjx5wil-e" Type="http://schemas.openxmlformats.org/officeDocument/2006/relationships/hyperlink" Target="https://www.qanu.ai/en/templates/saudi-employment-contract" TargetMode="External"/><Relationship Id="rIdn4h_8r3kvbttlndjuwyrr" Type="http://schemas.openxmlformats.org/officeDocument/2006/relationships/hyperlink" Target="https://creativecommons.org/licenses/by/4.0/deed.en" TargetMode="External"/><Relationship Id="rIdr8qu4akqvz43l-3ljsj-v" Type="http://schemas.openxmlformats.org/officeDocument/2006/relationships/hyperlink" Target="https://www.mohre.gov.ae/assets/download/dcafb8f4/Federal%20Decree-Law%20No.%2033%20of%202021%20Regarding%20the%20Regulation%20of%20Employment%20Relationship%20and%20its%20amendments.pdf.aspx" TargetMode="External"/><Relationship Id="rIdzwy0uu-k5rfczhotjepnv" Type="http://schemas.openxmlformats.org/officeDocument/2006/relationships/hyperlink" Target="https://www.mohre.gov.ae/en/services/issuancerenewal-of-employment-contracts-2022" TargetMode="External"/><Relationship Id="rIdxsoktziial0p-7g1-_lft" Type="http://schemas.openxmlformats.org/officeDocument/2006/relationships/hyperlink" Target="https://u.ae/en/information-and-services/jobs/Sector-of-employment/employment-in-the-private-sector/expatriates-employment-in-private-sector" TargetMode="External"/><Relationship Id="rId4zigyramgyztw0x-_x_fi" Type="http://schemas.openxmlformats.org/officeDocument/2006/relationships/hyperlink" Target="https://u.ae/en/information-and-services/jobs/Sector-of-employment/employment-in-the-private-sector/employment-contracts-duration-and-models-in-the-private-sector" TargetMode="External"/><Relationship Id="rIdfzadjx5rmh2qzre7kliws" Type="http://schemas.openxmlformats.org/officeDocument/2006/relationships/hyperlink" Target="https://u.ae/en/information-and-services/jobs/Sector-of-employment/employment-in-the-private-sector/terminating-employment-contracts" TargetMode="External"/><Relationship Id="rIdg7qmzotrzablmae4hqhk3" Type="http://schemas.openxmlformats.org/officeDocument/2006/relationships/hyperlink" Target="https://u.ae/en/information-and-services/jobs/Sector-of-employment/employment-in-the-private-sector/end-of-service-benefits-for-employees-in-the-private-sector" TargetMode="External"/><Relationship Id="rIdisefqzckgt1g9hyttuqou" Type="http://schemas.openxmlformats.org/officeDocument/2006/relationships/hyperlink" Target="https://u.ae/en/information-and-services/jobs/Sector-of-employment/employment-in-the-private-sector/employment-laws-and-regulations-in-the-private-sector" TargetMode="External"/><Relationship Id="rId8idgcx-_rdy4y-qlkklce" Type="http://schemas.openxmlformats.org/officeDocument/2006/relationships/hyperlink" Target="https://www.adgm.com/operating-in-adgm/employment-affairs-office" TargetMode="External"/><Relationship Id="rIdhyn-eel1y1crxzcnu3bcx" Type="http://schemas.openxmlformats.org/officeDocument/2006/relationships/hyperlink" Target="https://www.difc.com/business/laws-and-regulations/legal-database/difc-laws/employment-law-difc-law-no-2-of-2019" TargetMode="External"/><Relationship Id="rIduuwvadxuzwbp4y2n7s5n8" Type="http://schemas.openxmlformats.org/officeDocument/2006/relationships/hyperlink" Target="https://uaelegislation.gov.ae/en/legislations/1541" TargetMode="External"/><Relationship Id="rIdfz3ocd7zxflinzl8wm1pu" Type="http://schemas.openxmlformats.org/officeDocument/2006/relationships/hyperlink" Target="https://uaelegislation.gov.ae/ar/legislations/1541" TargetMode="External"/><Relationship Id="rIdl_xi8y0wmzn_baiahwkzo" Type="http://schemas.openxmlformats.org/officeDocument/2006/relationships/hyperlink" Target="https://www.hrsd.gov.sa/sites/default/files/2025-11/labor-law.pdf" TargetMode="External"/><Relationship Id="rId_rzrh23gehnghno7fdpp1" Type="http://schemas.openxmlformats.org/officeDocument/2006/relationships/hyperlink" Target="https://qiwa.sa/ar/service-overview/business-owners/manage-current-employees/contract-management"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employment contract (Word &amp; PDF)</dc:title>
  <dc:creator>Qanu</dc:creator>
  <cp:keywords>UAE employment contract, عقد عمل إماراتي, MOHRE, Federal Decree-Law No. 33 of 2021</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29 October 2026. Have it reviewed by a lawyer licensed in your jurisdiction before use. Where an official form or platform is mandatory, it prevails.</dc:description>
  <cp:lastModifiedBy>Qanu</cp:lastModifiedBy>
  <cp:revision>1</cp:revision>
  <dcterms:created xsi:type="dcterms:W3CDTF">2026-10-29T11:28:02.446Z</dcterms:created>
  <dcterms:modified xsi:type="dcterms:W3CDTF">2026-10-29T11:28:02.446Z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https://www.qanu.ai/en/templates/uae-employment-contract</vt:lpwstr>
  </property>
</Properties>
</file>